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72D84F">
      <w:pPr>
        <w:spacing w:line="271" w:lineRule="auto"/>
        <w:rPr>
          <w:rFonts w:ascii="仿宋_GB2312" w:hAnsi="仿宋_GB2312" w:eastAsia="仿宋_GB2312" w:cs="仿宋_GB2312"/>
          <w:sz w:val="32"/>
          <w:szCs w:val="32"/>
        </w:rPr>
      </w:pPr>
    </w:p>
    <w:p w14:paraId="395D77A5">
      <w:pPr>
        <w:pStyle w:val="2"/>
        <w:jc w:val="center"/>
        <w:outlineLvl w:val="2"/>
        <w:rPr>
          <w:rFonts w:hint="eastAsia" w:ascii="方正小标宋简体" w:hAnsi="方正小标宋简体" w:eastAsia="方正小标宋简体" w:cs="方正小标宋简体"/>
          <w:snapToGrid/>
          <w:color w:val="auto"/>
          <w:kern w:val="2"/>
          <w:sz w:val="44"/>
          <w:szCs w:val="44"/>
          <w:lang w:eastAsia="zh-CN"/>
        </w:rPr>
      </w:pPr>
      <w:r>
        <w:rPr>
          <w:rFonts w:hint="eastAsia" w:ascii="方正小标宋简体" w:hAnsi="方正小标宋简体" w:eastAsia="方正小标宋简体" w:cs="方正小标宋简体"/>
          <w:snapToGrid/>
          <w:color w:val="auto"/>
          <w:kern w:val="2"/>
          <w:sz w:val="44"/>
          <w:szCs w:val="44"/>
          <w:lang w:eastAsia="zh-CN"/>
        </w:rPr>
        <w:t>提质扩容建设项目一期工程</w:t>
      </w:r>
    </w:p>
    <w:p w14:paraId="76E13AE5">
      <w:pPr>
        <w:pStyle w:val="2"/>
        <w:jc w:val="center"/>
        <w:outlineLvl w:val="2"/>
        <w:rPr>
          <w:rFonts w:hint="eastAsia" w:ascii="方正小标宋简体" w:hAnsi="方正小标宋简体" w:eastAsia="方正小标宋简体" w:cs="方正小标宋简体"/>
          <w:snapToGrid/>
          <w:color w:val="auto"/>
          <w:kern w:val="2"/>
          <w:sz w:val="44"/>
          <w:szCs w:val="44"/>
          <w:lang w:eastAsia="zh-CN"/>
        </w:rPr>
      </w:pPr>
      <w:r>
        <w:rPr>
          <w:rFonts w:hint="eastAsia" w:ascii="方正小标宋简体" w:hAnsi="方正小标宋简体" w:eastAsia="方正小标宋简体" w:cs="方正小标宋简体"/>
          <w:snapToGrid/>
          <w:color w:val="auto"/>
          <w:kern w:val="2"/>
          <w:sz w:val="44"/>
          <w:szCs w:val="44"/>
          <w:lang w:eastAsia="zh-CN"/>
        </w:rPr>
        <w:t>项目支出绩效自评报告</w:t>
      </w:r>
    </w:p>
    <w:p w14:paraId="399D481F">
      <w:pPr>
        <w:spacing w:line="356" w:lineRule="auto"/>
        <w:rPr>
          <w:rFonts w:ascii="仿宋_GB2312" w:hAnsi="仿宋_GB2312" w:eastAsia="仿宋_GB2312" w:cs="仿宋_GB2312"/>
          <w:sz w:val="32"/>
          <w:szCs w:val="32"/>
          <w:lang w:eastAsia="zh-CN"/>
        </w:rPr>
      </w:pPr>
    </w:p>
    <w:p w14:paraId="1A0877D9">
      <w:pPr>
        <w:widowControl w:val="0"/>
        <w:kinsoku/>
        <w:autoSpaceDE/>
        <w:autoSpaceDN/>
        <w:spacing w:line="560" w:lineRule="exact"/>
        <w:ind w:firstLine="640" w:firstLineChars="200"/>
        <w:jc w:val="both"/>
        <w:textAlignment w:val="auto"/>
        <w:rPr>
          <w:rFonts w:hint="eastAsia" w:ascii="黑体" w:hAnsi="黑体" w:eastAsia="黑体" w:cs="黑体"/>
          <w:snapToGrid/>
          <w:color w:val="auto"/>
          <w:kern w:val="2"/>
          <w:sz w:val="32"/>
          <w:szCs w:val="32"/>
          <w:lang w:eastAsia="zh-CN"/>
        </w:rPr>
      </w:pPr>
      <w:bookmarkStart w:id="0" w:name="bookmark3"/>
      <w:bookmarkEnd w:id="0"/>
      <w:bookmarkStart w:id="1" w:name="bookmark2"/>
      <w:bookmarkEnd w:id="1"/>
      <w:bookmarkStart w:id="2" w:name="bookmark5"/>
      <w:bookmarkEnd w:id="2"/>
      <w:r>
        <w:rPr>
          <w:rFonts w:hint="eastAsia" w:ascii="黑体" w:hAnsi="黑体" w:eastAsia="黑体" w:cs="黑体"/>
          <w:snapToGrid/>
          <w:color w:val="auto"/>
          <w:kern w:val="2"/>
          <w:sz w:val="32"/>
          <w:szCs w:val="32"/>
          <w:lang w:eastAsia="zh-CN"/>
        </w:rPr>
        <w:t>一、项目基本情况</w:t>
      </w:r>
    </w:p>
    <w:p w14:paraId="51EA74A8">
      <w:pPr>
        <w:widowControl w:val="0"/>
        <w:kinsoku/>
        <w:autoSpaceDE/>
        <w:autoSpaceDN/>
        <w:spacing w:before="240" w:beforeLines="100" w:line="560" w:lineRule="exact"/>
        <w:ind w:firstLine="640" w:firstLineChars="200"/>
        <w:jc w:val="both"/>
        <w:textAlignment w:val="auto"/>
        <w:rPr>
          <w:rFonts w:hint="eastAsia" w:ascii="楷体_GB2312" w:hAnsi="楷体_GB2312" w:eastAsia="楷体_GB2312" w:cs="楷体_GB2312"/>
          <w:snapToGrid/>
          <w:color w:val="auto"/>
          <w:kern w:val="2"/>
          <w:sz w:val="32"/>
          <w:szCs w:val="32"/>
          <w:lang w:eastAsia="zh-CN"/>
        </w:rPr>
      </w:pPr>
      <w:bookmarkStart w:id="3" w:name="bookmark4"/>
      <w:bookmarkEnd w:id="3"/>
      <w:r>
        <w:rPr>
          <w:rFonts w:hint="eastAsia" w:ascii="楷体_GB2312" w:hAnsi="楷体_GB2312" w:eastAsia="楷体_GB2312" w:cs="楷体_GB2312"/>
          <w:snapToGrid/>
          <w:color w:val="auto"/>
          <w:kern w:val="2"/>
          <w:sz w:val="32"/>
          <w:szCs w:val="32"/>
          <w:lang w:eastAsia="zh-CN"/>
        </w:rPr>
        <w:t>（一）项目概况</w:t>
      </w:r>
    </w:p>
    <w:p w14:paraId="4228DD83">
      <w:pPr>
        <w:pStyle w:val="2"/>
        <w:spacing w:before="219" w:line="570" w:lineRule="exact"/>
        <w:ind w:firstLine="640" w:firstLineChars="200"/>
        <w:jc w:val="both"/>
        <w:rPr>
          <w:rFonts w:ascii="仿宋_GB2312" w:hAnsi="仿宋_GB2312" w:eastAsia="仿宋_GB2312" w:cs="仿宋_GB2312"/>
          <w:snapToGrid/>
          <w:color w:val="auto"/>
          <w:kern w:val="2"/>
          <w:sz w:val="32"/>
          <w:szCs w:val="32"/>
          <w:lang w:eastAsia="zh-CN"/>
        </w:rPr>
      </w:pPr>
      <w:r>
        <w:rPr>
          <w:rFonts w:hint="eastAsia" w:ascii="仿宋_GB2312" w:hAnsi="仿宋_GB2312" w:eastAsia="仿宋_GB2312" w:cs="仿宋_GB2312"/>
          <w:snapToGrid/>
          <w:color w:val="auto"/>
          <w:kern w:val="2"/>
          <w:sz w:val="32"/>
          <w:szCs w:val="32"/>
          <w:lang w:eastAsia="zh-CN"/>
        </w:rPr>
        <w:t>1.项目决策背景</w:t>
      </w:r>
    </w:p>
    <w:p w14:paraId="2A8A2D0B">
      <w:pPr>
        <w:pStyle w:val="2"/>
        <w:spacing w:before="219" w:line="570" w:lineRule="exact"/>
        <w:ind w:firstLine="640" w:firstLineChars="200"/>
        <w:jc w:val="both"/>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2020年8月26日，怀化市发展和改革委员会以《关于怀化职业技术学院提质扩容建设项目一期工程可行性研究报告的批复》（怀发改社会〔2020〕18 号）批复同意怀化职业技术学院实施提质扩容建设项目一期工程。该项目建设地点位于怀化市经开区南山寨路以东、环城西路西侧、怀化职院校园南侧，总用地面积约109620平方米，总建筑面积约69636平方米，主要建设内容包括：新建3栋6层学生公寓，建筑面积约29040 平方米；新建1栋5层综合教学实训楼，建筑面积约14998平方米；新建1栋3层第二食堂，建筑面积约7500平方米；新建1栋 3层学生综合服务中心（创新创业服务中心），建筑面积约 4900平方米；新建1栋3层现代物流实习实训基地，建筑面积约 4900平方米；新建1栋2层实训工厂，建筑面积约4526平方米；新建1栋3层后勤及附属用房，建筑面积约5178平方米。同时，配套相应的水电、道路、广场及绿化建设等；项目总投资 35,434.28 万元，</w:t>
      </w:r>
      <w:r>
        <w:rPr>
          <w:rFonts w:hint="eastAsia" w:cs="仿宋_GB2312"/>
          <w:snapToGrid/>
          <w:color w:val="auto"/>
          <w:kern w:val="2"/>
          <w:sz w:val="32"/>
          <w:szCs w:val="32"/>
          <w:lang w:eastAsia="zh-CN"/>
        </w:rPr>
        <w:t>资金来源为除中央、省财政预算内补助资金和政府专项债券外，</w:t>
      </w:r>
      <w:r>
        <w:rPr>
          <w:rFonts w:hint="eastAsia" w:cs="仿宋_GB2312"/>
          <w:snapToGrid/>
          <w:color w:val="000000" w:themeColor="text1"/>
          <w:kern w:val="2"/>
          <w:sz w:val="32"/>
          <w:szCs w:val="32"/>
          <w:lang w:eastAsia="zh-CN"/>
          <w14:textFill>
            <w14:solidFill>
              <w14:schemeClr w14:val="tx1"/>
            </w14:solidFill>
          </w14:textFill>
        </w:rPr>
        <w:t>不足部分由学院办学收入承担；项目建设期为36个月。</w:t>
      </w:r>
    </w:p>
    <w:p w14:paraId="1B7265DA">
      <w:pPr>
        <w:pStyle w:val="2"/>
        <w:spacing w:before="219" w:line="570" w:lineRule="exact"/>
        <w:ind w:firstLine="640" w:firstLineChars="200"/>
        <w:jc w:val="both"/>
        <w:rPr>
          <w:rFonts w:ascii="仿宋_GB2312" w:hAnsi="仿宋_GB2312" w:eastAsia="仿宋_GB2312" w:cs="仿宋_GB2312"/>
          <w:snapToGrid/>
          <w:color w:val="auto"/>
          <w:kern w:val="2"/>
          <w:sz w:val="32"/>
          <w:szCs w:val="32"/>
          <w:lang w:eastAsia="zh-CN"/>
        </w:rPr>
      </w:pPr>
      <w:r>
        <w:rPr>
          <w:rFonts w:hint="eastAsia" w:ascii="仿宋_GB2312" w:hAnsi="仿宋_GB2312" w:eastAsia="仿宋_GB2312" w:cs="仿宋_GB2312"/>
          <w:snapToGrid/>
          <w:color w:val="auto"/>
          <w:kern w:val="2"/>
          <w:sz w:val="32"/>
          <w:szCs w:val="32"/>
          <w:lang w:eastAsia="zh-CN"/>
        </w:rPr>
        <w:t>2.项目主要内容</w:t>
      </w:r>
    </w:p>
    <w:p w14:paraId="11EEDAF0">
      <w:pPr>
        <w:pStyle w:val="2"/>
        <w:spacing w:before="219" w:line="360" w:lineRule="auto"/>
        <w:ind w:firstLine="640" w:firstLineChars="200"/>
        <w:jc w:val="both"/>
        <w:rPr>
          <w:rFonts w:ascii="仿宋_GB2312" w:hAnsi="仿宋_GB2312" w:eastAsia="仿宋_GB2312"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2021年8月3日，怀化市发展和改革委员会《关于怀化职 业技术学院提质扩容建设项目一期工程概算总投资的批复》（怀发改社会〔2021〕14号），批复总建筑面积约 63766.92平方米，比估算面积减少5869.08平方米。主要建设内容包括3栋学生公寓建筑面积约27548.73平方米；综合教学实训楼建筑面积约13617.72平方米；第二食堂建筑面积约7426.16平方米；学生综合服务中心（创新创业服务中心）建筑面积约3249.17平方米；现代物流实习实训基地建筑面积约3793.83平方米；实训工厂建筑面积约4327.76平方米；后勤及附属用房建筑面积约3762.44平方米。核定怀化职业技术学院提质扩容建设项目一期工程概算总投资为32,850.94万元，比估算总投资减少2,583.34万元</w:t>
      </w:r>
      <w:r>
        <w:rPr>
          <w:rFonts w:hint="eastAsia" w:ascii="仿宋_GB2312" w:hAnsi="仿宋_GB2312" w:eastAsia="仿宋_GB2312" w:cs="仿宋_GB2312"/>
          <w:snapToGrid/>
          <w:color w:val="000000" w:themeColor="text1"/>
          <w:kern w:val="2"/>
          <w:sz w:val="32"/>
          <w:szCs w:val="32"/>
          <w:lang w:eastAsia="zh-CN"/>
          <w14:textFill>
            <w14:solidFill>
              <w14:schemeClr w14:val="tx1"/>
            </w14:solidFill>
          </w14:textFill>
        </w:rPr>
        <w:t>。</w:t>
      </w:r>
    </w:p>
    <w:p w14:paraId="1351D7CC">
      <w:pPr>
        <w:pStyle w:val="2"/>
        <w:spacing w:before="237" w:line="360" w:lineRule="auto"/>
        <w:ind w:left="6" w:firstLine="640" w:firstLineChars="200"/>
        <w:jc w:val="both"/>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根据《关于湖南省怀化市2021年社会事业项目收益专项债券项目收益与融资自求平衡分析预测说明书》，怀化职业技术学院提质扩容建设项目一期工程静态总投资中，计划于 2021年申请本期发行项目收益专项债券24,500万元。差额则根据2020年7月20日怀化市财政局《情况说明》，学院提质扩容项目的资金安排，除中央、省财政预算内补助资金和政府专项债券外，不足部分由学院办学收入承担。</w:t>
      </w:r>
    </w:p>
    <w:p w14:paraId="025641D2">
      <w:pPr>
        <w:pStyle w:val="2"/>
        <w:spacing w:before="219" w:line="570" w:lineRule="exact"/>
        <w:ind w:firstLine="640" w:firstLineChars="200"/>
        <w:jc w:val="both"/>
        <w:rPr>
          <w:rFonts w:ascii="仿宋_GB2312" w:hAnsi="仿宋_GB2312" w:eastAsia="仿宋_GB2312" w:cs="仿宋_GB2312"/>
          <w:snapToGrid/>
          <w:color w:val="auto"/>
          <w:kern w:val="2"/>
          <w:sz w:val="32"/>
          <w:szCs w:val="32"/>
          <w:lang w:eastAsia="zh-CN"/>
        </w:rPr>
      </w:pPr>
      <w:r>
        <w:rPr>
          <w:rFonts w:hint="eastAsia" w:ascii="仿宋_GB2312" w:hAnsi="仿宋_GB2312" w:eastAsia="仿宋_GB2312" w:cs="仿宋_GB2312"/>
          <w:snapToGrid/>
          <w:color w:val="auto"/>
          <w:kern w:val="2"/>
          <w:sz w:val="32"/>
          <w:szCs w:val="32"/>
          <w:lang w:eastAsia="zh-CN"/>
        </w:rPr>
        <w:t>3.项目组织管理机构</w:t>
      </w:r>
    </w:p>
    <w:p w14:paraId="45D05FD6">
      <w:pPr>
        <w:pStyle w:val="2"/>
        <w:spacing w:before="241" w:line="570" w:lineRule="exact"/>
        <w:ind w:firstLine="639"/>
        <w:jc w:val="both"/>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本项目实行代建制，建设单位为怀化职业技术学院，代建单位为湖南省轻纺设计院有限公司，监理单位为湖南方圆工程咨询监理有限公司，项目于2021年11月2日进行了工程设计、采购及施工（EPC）总承包公开招标，由湖南省沙坪建设有限公司（牵头单位）、湖南大学设计研究院有限公司（联合体成员）中标。</w:t>
      </w:r>
      <w:bookmarkStart w:id="4" w:name="bookmark12"/>
      <w:bookmarkEnd w:id="4"/>
    </w:p>
    <w:p w14:paraId="65F96D75">
      <w:pPr>
        <w:widowControl w:val="0"/>
        <w:kinsoku/>
        <w:autoSpaceDE/>
        <w:autoSpaceDN/>
        <w:spacing w:before="240" w:beforeLines="100" w:line="560" w:lineRule="exact"/>
        <w:ind w:firstLine="643" w:firstLineChars="200"/>
        <w:jc w:val="both"/>
        <w:textAlignment w:val="auto"/>
        <w:rPr>
          <w:rFonts w:hint="eastAsia" w:ascii="楷体_GB2312" w:hAnsi="楷体_GB2312" w:eastAsia="楷体_GB2312" w:cs="楷体_GB2312"/>
          <w:b/>
          <w:bCs/>
          <w:snapToGrid/>
          <w:color w:val="auto"/>
          <w:kern w:val="2"/>
          <w:sz w:val="32"/>
          <w:szCs w:val="32"/>
          <w:lang w:eastAsia="zh-CN"/>
        </w:rPr>
      </w:pPr>
      <w:bookmarkStart w:id="5" w:name="bookmark1"/>
      <w:bookmarkEnd w:id="5"/>
      <w:bookmarkStart w:id="6" w:name="bookmark6"/>
      <w:bookmarkEnd w:id="6"/>
      <w:r>
        <w:rPr>
          <w:rFonts w:hint="eastAsia" w:ascii="楷体_GB2312" w:hAnsi="楷体_GB2312" w:eastAsia="楷体_GB2312" w:cs="楷体_GB2312"/>
          <w:b/>
          <w:bCs/>
          <w:snapToGrid/>
          <w:color w:val="auto"/>
          <w:kern w:val="2"/>
          <w:sz w:val="32"/>
          <w:szCs w:val="32"/>
          <w:lang w:eastAsia="zh-CN"/>
        </w:rPr>
        <w:t>（二）预算资金使用管理情况</w:t>
      </w:r>
    </w:p>
    <w:p w14:paraId="2CE8FDBE">
      <w:pPr>
        <w:pStyle w:val="2"/>
        <w:spacing w:before="219" w:line="570" w:lineRule="exact"/>
        <w:ind w:firstLine="640" w:firstLineChars="200"/>
        <w:jc w:val="both"/>
        <w:rPr>
          <w:rFonts w:ascii="仿宋_GB2312" w:hAnsi="仿宋_GB2312" w:eastAsia="仿宋_GB2312" w:cs="仿宋_GB2312"/>
          <w:snapToGrid/>
          <w:color w:val="auto"/>
          <w:kern w:val="2"/>
          <w:sz w:val="32"/>
          <w:szCs w:val="32"/>
          <w:lang w:eastAsia="zh-CN"/>
        </w:rPr>
      </w:pPr>
      <w:r>
        <w:rPr>
          <w:rFonts w:hint="eastAsia" w:ascii="仿宋_GB2312" w:hAnsi="仿宋_GB2312" w:eastAsia="仿宋_GB2312" w:cs="仿宋_GB2312"/>
          <w:snapToGrid/>
          <w:color w:val="auto"/>
          <w:kern w:val="2"/>
          <w:sz w:val="32"/>
          <w:szCs w:val="32"/>
          <w:lang w:eastAsia="zh-CN"/>
        </w:rPr>
        <w:t>1.预算资金安排及管理情况</w:t>
      </w:r>
    </w:p>
    <w:p w14:paraId="468B80E5">
      <w:pPr>
        <w:pStyle w:val="2"/>
        <w:spacing w:before="232" w:line="570" w:lineRule="exact"/>
        <w:ind w:firstLine="632" w:firstLineChars="200"/>
        <w:jc w:val="both"/>
        <w:rPr>
          <w:rFonts w:ascii="仿宋_GB2312" w:hAnsi="仿宋_GB2312" w:eastAsia="仿宋_GB2312" w:cs="仿宋_GB2312"/>
          <w:spacing w:val="-2"/>
          <w:sz w:val="32"/>
          <w:szCs w:val="32"/>
          <w:lang w:eastAsia="zh-CN"/>
        </w:rPr>
      </w:pPr>
      <w:r>
        <w:rPr>
          <w:rFonts w:hint="eastAsia" w:ascii="仿宋_GB2312" w:hAnsi="仿宋_GB2312" w:eastAsia="仿宋_GB2312" w:cs="仿宋_GB2312"/>
          <w:spacing w:val="-2"/>
          <w:sz w:val="32"/>
          <w:szCs w:val="32"/>
          <w:lang w:eastAsia="zh-CN"/>
        </w:rPr>
        <w:t>（1）资金来源及拨付流程</w:t>
      </w:r>
    </w:p>
    <w:p w14:paraId="015B2C82">
      <w:pPr>
        <w:pStyle w:val="2"/>
        <w:spacing w:before="232" w:line="570" w:lineRule="exact"/>
        <w:ind w:firstLine="640" w:firstLineChars="200"/>
        <w:jc w:val="both"/>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提质扩容建设项目一期工程资金来源为地方政府专项债券，债券名称为2021年湖南省社会事业专项债券（六期）-2021年湖南省政府专项债券（二十四期），于2021年8月10日在深圳证券交易所上市交易，该期债券为20年期固定利率附息债，证券编码“191981”，证券简称“湖南2133”，票面利率3.43%，金额 24,500万元；还款方式为每半年支付利息，到期偿还本金，2041年8月6日到期还本并支付最后一期利息。</w:t>
      </w:r>
    </w:p>
    <w:p w14:paraId="4E1F6887">
      <w:pPr>
        <w:pStyle w:val="2"/>
        <w:spacing w:before="246" w:line="570" w:lineRule="exact"/>
        <w:ind w:right="140" w:firstLine="642"/>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2021年8月23日，市财政下达预算指标24,500万元。</w:t>
      </w:r>
    </w:p>
    <w:p w14:paraId="68451A23">
      <w:pPr>
        <w:pStyle w:val="2"/>
        <w:spacing w:before="246" w:line="570" w:lineRule="exact"/>
        <w:ind w:right="140" w:firstLine="642"/>
        <w:rPr>
          <w:rFonts w:cs="仿宋_GB2312"/>
          <w:snapToGrid/>
          <w:color w:val="000000" w:themeColor="text1"/>
          <w:kern w:val="2"/>
          <w:sz w:val="32"/>
          <w:szCs w:val="32"/>
          <w:lang w:eastAsia="zh-CN"/>
          <w14:textFill>
            <w14:solidFill>
              <w14:schemeClr w14:val="tx1"/>
            </w14:solidFill>
          </w14:textFill>
        </w:rPr>
      </w:pPr>
      <w:bookmarkStart w:id="7" w:name="bookmark8"/>
      <w:bookmarkEnd w:id="7"/>
      <w:bookmarkStart w:id="8" w:name="bookmark7"/>
      <w:bookmarkEnd w:id="8"/>
      <w:bookmarkStart w:id="9" w:name="bookmark10"/>
      <w:bookmarkEnd w:id="9"/>
      <w:r>
        <w:rPr>
          <w:rFonts w:hint="eastAsia" w:cs="仿宋_GB2312"/>
          <w:snapToGrid/>
          <w:color w:val="000000" w:themeColor="text1"/>
          <w:kern w:val="2"/>
          <w:sz w:val="32"/>
          <w:szCs w:val="32"/>
          <w:lang w:eastAsia="zh-CN"/>
          <w14:textFill>
            <w14:solidFill>
              <w14:schemeClr w14:val="tx1"/>
            </w14:solidFill>
          </w14:textFill>
        </w:rPr>
        <w:t>（2）资金到位情况</w:t>
      </w:r>
    </w:p>
    <w:p w14:paraId="24E2135E">
      <w:pPr>
        <w:pStyle w:val="2"/>
        <w:spacing w:before="246" w:line="360" w:lineRule="auto"/>
        <w:ind w:right="140" w:firstLine="642"/>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2021年8月23日，“提质扩容建设项目一期工程”政府专项债券预算指标到位金额24,500万元,资金到位率100%。</w:t>
      </w:r>
    </w:p>
    <w:p w14:paraId="3C1C35B8">
      <w:pPr>
        <w:pStyle w:val="2"/>
        <w:spacing w:before="246" w:line="570" w:lineRule="exact"/>
        <w:ind w:right="140" w:firstLine="642"/>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（3）资金使用情况</w:t>
      </w:r>
    </w:p>
    <w:p w14:paraId="6E28EACE">
      <w:pPr>
        <w:pStyle w:val="2"/>
        <w:spacing w:before="239" w:line="360" w:lineRule="auto"/>
        <w:ind w:right="53" w:firstLine="643"/>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截至 2023 年12月31日，专项债券账面累计支出</w:t>
      </w:r>
      <w:r>
        <w:rPr>
          <w:rFonts w:cs="仿宋_GB2312"/>
          <w:snapToGrid/>
          <w:color w:val="000000" w:themeColor="text1"/>
          <w:kern w:val="2"/>
          <w:sz w:val="32"/>
          <w:szCs w:val="32"/>
          <w:lang w:eastAsia="zh-CN"/>
          <w14:textFill>
            <w14:solidFill>
              <w14:schemeClr w14:val="tx1"/>
            </w14:solidFill>
          </w14:textFill>
        </w:rPr>
        <w:t>122</w:t>
      </w:r>
      <w:r>
        <w:rPr>
          <w:rFonts w:hint="eastAsia" w:cs="仿宋_GB2312"/>
          <w:snapToGrid/>
          <w:color w:val="000000" w:themeColor="text1"/>
          <w:kern w:val="2"/>
          <w:sz w:val="32"/>
          <w:szCs w:val="32"/>
          <w:lang w:eastAsia="zh-CN"/>
          <w14:textFill>
            <w14:solidFill>
              <w14:schemeClr w14:val="tx1"/>
            </w14:solidFill>
          </w14:textFill>
        </w:rPr>
        <w:t>,</w:t>
      </w:r>
      <w:r>
        <w:rPr>
          <w:rFonts w:cs="仿宋_GB2312"/>
          <w:snapToGrid/>
          <w:color w:val="000000" w:themeColor="text1"/>
          <w:kern w:val="2"/>
          <w:sz w:val="32"/>
          <w:szCs w:val="32"/>
          <w:lang w:eastAsia="zh-CN"/>
          <w14:textFill>
            <w14:solidFill>
              <w14:schemeClr w14:val="tx1"/>
            </w14:solidFill>
          </w14:textFill>
        </w:rPr>
        <w:t>443</w:t>
      </w:r>
      <w:r>
        <w:rPr>
          <w:rFonts w:hint="eastAsia" w:cs="仿宋_GB2312"/>
          <w:snapToGrid/>
          <w:color w:val="000000" w:themeColor="text1"/>
          <w:kern w:val="2"/>
          <w:sz w:val="32"/>
          <w:szCs w:val="32"/>
          <w:lang w:eastAsia="zh-CN"/>
          <w14:textFill>
            <w14:solidFill>
              <w14:schemeClr w14:val="tx1"/>
            </w14:solidFill>
          </w14:textFill>
        </w:rPr>
        <w:t>,</w:t>
      </w:r>
      <w:r>
        <w:rPr>
          <w:rFonts w:cs="仿宋_GB2312"/>
          <w:snapToGrid/>
          <w:color w:val="000000" w:themeColor="text1"/>
          <w:kern w:val="2"/>
          <w:sz w:val="32"/>
          <w:szCs w:val="32"/>
          <w:lang w:eastAsia="zh-CN"/>
          <w14:textFill>
            <w14:solidFill>
              <w14:schemeClr w14:val="tx1"/>
            </w14:solidFill>
          </w14:textFill>
        </w:rPr>
        <w:t>176.30</w:t>
      </w:r>
      <w:r>
        <w:rPr>
          <w:rFonts w:hint="eastAsia" w:cs="仿宋_GB2312"/>
          <w:snapToGrid/>
          <w:color w:val="000000" w:themeColor="text1"/>
          <w:kern w:val="2"/>
          <w:sz w:val="32"/>
          <w:szCs w:val="32"/>
          <w:lang w:eastAsia="zh-CN"/>
          <w14:textFill>
            <w14:solidFill>
              <w14:schemeClr w14:val="tx1"/>
            </w14:solidFill>
          </w14:textFill>
        </w:rPr>
        <w:t>元（其中2021年支出</w:t>
      </w:r>
      <w:r>
        <w:rPr>
          <w:rFonts w:cs="仿宋_GB2312"/>
          <w:snapToGrid/>
          <w:color w:val="000000" w:themeColor="text1"/>
          <w:kern w:val="2"/>
          <w:sz w:val="32"/>
          <w:szCs w:val="32"/>
          <w:lang w:eastAsia="zh-CN"/>
          <w14:textFill>
            <w14:solidFill>
              <w14:schemeClr w14:val="tx1"/>
            </w14:solidFill>
          </w14:textFill>
        </w:rPr>
        <w:t>1</w:t>
      </w:r>
      <w:r>
        <w:rPr>
          <w:rFonts w:hint="eastAsia" w:cs="仿宋_GB2312"/>
          <w:snapToGrid/>
          <w:color w:val="000000" w:themeColor="text1"/>
          <w:kern w:val="2"/>
          <w:sz w:val="32"/>
          <w:szCs w:val="32"/>
          <w:lang w:eastAsia="zh-CN"/>
          <w14:textFill>
            <w14:solidFill>
              <w14:schemeClr w14:val="tx1"/>
            </w14:solidFill>
          </w14:textFill>
        </w:rPr>
        <w:t>,</w:t>
      </w:r>
      <w:r>
        <w:rPr>
          <w:rFonts w:cs="仿宋_GB2312"/>
          <w:snapToGrid/>
          <w:color w:val="000000" w:themeColor="text1"/>
          <w:kern w:val="2"/>
          <w:sz w:val="32"/>
          <w:szCs w:val="32"/>
          <w:lang w:eastAsia="zh-CN"/>
          <w14:textFill>
            <w14:solidFill>
              <w14:schemeClr w14:val="tx1"/>
            </w14:solidFill>
          </w14:textFill>
        </w:rPr>
        <w:t>159</w:t>
      </w:r>
      <w:r>
        <w:rPr>
          <w:rFonts w:hint="eastAsia" w:cs="仿宋_GB2312"/>
          <w:snapToGrid/>
          <w:color w:val="000000" w:themeColor="text1"/>
          <w:kern w:val="2"/>
          <w:sz w:val="32"/>
          <w:szCs w:val="32"/>
          <w:lang w:eastAsia="zh-CN"/>
          <w14:textFill>
            <w14:solidFill>
              <w14:schemeClr w14:val="tx1"/>
            </w14:solidFill>
          </w14:textFill>
        </w:rPr>
        <w:t>,</w:t>
      </w:r>
      <w:r>
        <w:rPr>
          <w:rFonts w:cs="仿宋_GB2312"/>
          <w:snapToGrid/>
          <w:color w:val="000000" w:themeColor="text1"/>
          <w:kern w:val="2"/>
          <w:sz w:val="32"/>
          <w:szCs w:val="32"/>
          <w:lang w:eastAsia="zh-CN"/>
          <w14:textFill>
            <w14:solidFill>
              <w14:schemeClr w14:val="tx1"/>
            </w14:solidFill>
          </w14:textFill>
        </w:rPr>
        <w:t>112</w:t>
      </w:r>
      <w:r>
        <w:rPr>
          <w:rFonts w:hint="eastAsia" w:cs="仿宋_GB2312"/>
          <w:snapToGrid/>
          <w:color w:val="000000" w:themeColor="text1"/>
          <w:kern w:val="2"/>
          <w:sz w:val="32"/>
          <w:szCs w:val="32"/>
          <w:lang w:eastAsia="zh-CN"/>
          <w14:textFill>
            <w14:solidFill>
              <w14:schemeClr w14:val="tx1"/>
            </w14:solidFill>
          </w14:textFill>
        </w:rPr>
        <w:t>元，2022年支出</w:t>
      </w:r>
      <w:r>
        <w:rPr>
          <w:rFonts w:cs="仿宋_GB2312"/>
          <w:snapToGrid/>
          <w:color w:val="000000" w:themeColor="text1"/>
          <w:kern w:val="2"/>
          <w:sz w:val="32"/>
          <w:szCs w:val="32"/>
          <w:lang w:eastAsia="zh-CN"/>
          <w14:textFill>
            <w14:solidFill>
              <w14:schemeClr w14:val="tx1"/>
            </w14:solidFill>
          </w14:textFill>
        </w:rPr>
        <w:t>91</w:t>
      </w:r>
      <w:r>
        <w:rPr>
          <w:rFonts w:hint="eastAsia" w:cs="仿宋_GB2312"/>
          <w:snapToGrid/>
          <w:color w:val="000000" w:themeColor="text1"/>
          <w:kern w:val="2"/>
          <w:sz w:val="32"/>
          <w:szCs w:val="32"/>
          <w:lang w:eastAsia="zh-CN"/>
          <w14:textFill>
            <w14:solidFill>
              <w14:schemeClr w14:val="tx1"/>
            </w14:solidFill>
          </w14:textFill>
        </w:rPr>
        <w:t>,</w:t>
      </w:r>
      <w:r>
        <w:rPr>
          <w:rFonts w:cs="仿宋_GB2312"/>
          <w:snapToGrid/>
          <w:color w:val="000000" w:themeColor="text1"/>
          <w:kern w:val="2"/>
          <w:sz w:val="32"/>
          <w:szCs w:val="32"/>
          <w:lang w:eastAsia="zh-CN"/>
          <w14:textFill>
            <w14:solidFill>
              <w14:schemeClr w14:val="tx1"/>
            </w14:solidFill>
          </w14:textFill>
        </w:rPr>
        <w:t>772</w:t>
      </w:r>
      <w:r>
        <w:rPr>
          <w:rFonts w:hint="eastAsia" w:cs="仿宋_GB2312"/>
          <w:snapToGrid/>
          <w:color w:val="000000" w:themeColor="text1"/>
          <w:kern w:val="2"/>
          <w:sz w:val="32"/>
          <w:szCs w:val="32"/>
          <w:lang w:eastAsia="zh-CN"/>
          <w14:textFill>
            <w14:solidFill>
              <w14:schemeClr w14:val="tx1"/>
            </w14:solidFill>
          </w14:textFill>
        </w:rPr>
        <w:t>,</w:t>
      </w:r>
      <w:r>
        <w:rPr>
          <w:rFonts w:cs="仿宋_GB2312"/>
          <w:snapToGrid/>
          <w:color w:val="000000" w:themeColor="text1"/>
          <w:kern w:val="2"/>
          <w:sz w:val="32"/>
          <w:szCs w:val="32"/>
          <w:lang w:eastAsia="zh-CN"/>
          <w14:textFill>
            <w14:solidFill>
              <w14:schemeClr w14:val="tx1"/>
            </w14:solidFill>
          </w14:textFill>
        </w:rPr>
        <w:t>575.97</w:t>
      </w:r>
      <w:r>
        <w:rPr>
          <w:rFonts w:hint="eastAsia" w:cs="仿宋_GB2312"/>
          <w:snapToGrid/>
          <w:color w:val="000000" w:themeColor="text1"/>
          <w:kern w:val="2"/>
          <w:sz w:val="32"/>
          <w:szCs w:val="32"/>
          <w:lang w:eastAsia="zh-CN"/>
          <w14:textFill>
            <w14:solidFill>
              <w14:schemeClr w14:val="tx1"/>
            </w14:solidFill>
          </w14:textFill>
        </w:rPr>
        <w:t>元，2023年支出</w:t>
      </w:r>
      <w:r>
        <w:rPr>
          <w:rFonts w:cs="仿宋_GB2312"/>
          <w:snapToGrid/>
          <w:color w:val="000000" w:themeColor="text1"/>
          <w:kern w:val="2"/>
          <w:sz w:val="32"/>
          <w:szCs w:val="32"/>
          <w:lang w:eastAsia="zh-CN"/>
          <w14:textFill>
            <w14:solidFill>
              <w14:schemeClr w14:val="tx1"/>
            </w14:solidFill>
          </w14:textFill>
        </w:rPr>
        <w:t>29</w:t>
      </w:r>
      <w:r>
        <w:rPr>
          <w:rFonts w:hint="eastAsia" w:cs="仿宋_GB2312"/>
          <w:snapToGrid/>
          <w:color w:val="000000" w:themeColor="text1"/>
          <w:kern w:val="2"/>
          <w:sz w:val="32"/>
          <w:szCs w:val="32"/>
          <w:lang w:eastAsia="zh-CN"/>
          <w14:textFill>
            <w14:solidFill>
              <w14:schemeClr w14:val="tx1"/>
            </w14:solidFill>
          </w14:textFill>
        </w:rPr>
        <w:t>,</w:t>
      </w:r>
      <w:r>
        <w:rPr>
          <w:rFonts w:cs="仿宋_GB2312"/>
          <w:snapToGrid/>
          <w:color w:val="000000" w:themeColor="text1"/>
          <w:kern w:val="2"/>
          <w:sz w:val="32"/>
          <w:szCs w:val="32"/>
          <w:lang w:eastAsia="zh-CN"/>
          <w14:textFill>
            <w14:solidFill>
              <w14:schemeClr w14:val="tx1"/>
            </w14:solidFill>
          </w14:textFill>
        </w:rPr>
        <w:t>511</w:t>
      </w:r>
      <w:r>
        <w:rPr>
          <w:rFonts w:hint="eastAsia" w:cs="仿宋_GB2312"/>
          <w:snapToGrid/>
          <w:color w:val="000000" w:themeColor="text1"/>
          <w:kern w:val="2"/>
          <w:sz w:val="32"/>
          <w:szCs w:val="32"/>
          <w:lang w:eastAsia="zh-CN"/>
          <w14:textFill>
            <w14:solidFill>
              <w14:schemeClr w14:val="tx1"/>
            </w14:solidFill>
          </w14:textFill>
        </w:rPr>
        <w:t>,</w:t>
      </w:r>
      <w:r>
        <w:rPr>
          <w:rFonts w:cs="仿宋_GB2312"/>
          <w:snapToGrid/>
          <w:color w:val="000000" w:themeColor="text1"/>
          <w:kern w:val="2"/>
          <w:sz w:val="32"/>
          <w:szCs w:val="32"/>
          <w:lang w:eastAsia="zh-CN"/>
          <w14:textFill>
            <w14:solidFill>
              <w14:schemeClr w14:val="tx1"/>
            </w14:solidFill>
          </w14:textFill>
        </w:rPr>
        <w:t>488.33</w:t>
      </w:r>
      <w:r>
        <w:rPr>
          <w:rFonts w:hint="eastAsia" w:cs="仿宋_GB2312"/>
          <w:snapToGrid/>
          <w:color w:val="000000" w:themeColor="text1"/>
          <w:kern w:val="2"/>
          <w:sz w:val="32"/>
          <w:szCs w:val="32"/>
          <w:lang w:eastAsia="zh-CN"/>
          <w14:textFill>
            <w14:solidFill>
              <w14:schemeClr w14:val="tx1"/>
            </w14:solidFill>
          </w14:textFill>
        </w:rPr>
        <w:t>元），资金使用率</w:t>
      </w:r>
      <w:r>
        <w:rPr>
          <w:rFonts w:cs="仿宋_GB2312"/>
          <w:snapToGrid/>
          <w:color w:val="000000" w:themeColor="text1"/>
          <w:kern w:val="2"/>
          <w:sz w:val="32"/>
          <w:szCs w:val="32"/>
          <w:lang w:eastAsia="zh-CN"/>
          <w14:textFill>
            <w14:solidFill>
              <w14:schemeClr w14:val="tx1"/>
            </w14:solidFill>
          </w14:textFill>
        </w:rPr>
        <w:t>49.98%</w:t>
      </w:r>
      <w:r>
        <w:rPr>
          <w:rFonts w:hint="eastAsia" w:cs="仿宋_GB2312"/>
          <w:snapToGrid/>
          <w:color w:val="000000" w:themeColor="text1"/>
          <w:kern w:val="2"/>
          <w:sz w:val="32"/>
          <w:szCs w:val="32"/>
          <w:lang w:eastAsia="zh-CN"/>
          <w14:textFill>
            <w14:solidFill>
              <w14:schemeClr w14:val="tx1"/>
            </w14:solidFill>
          </w14:textFill>
        </w:rPr>
        <w:t>，结余</w:t>
      </w:r>
      <w:r>
        <w:rPr>
          <w:rFonts w:cs="仿宋_GB2312"/>
          <w:snapToGrid/>
          <w:color w:val="000000" w:themeColor="text1"/>
          <w:kern w:val="2"/>
          <w:sz w:val="32"/>
          <w:szCs w:val="32"/>
          <w:lang w:eastAsia="zh-CN"/>
          <w14:textFill>
            <w14:solidFill>
              <w14:schemeClr w14:val="tx1"/>
            </w14:solidFill>
          </w14:textFill>
        </w:rPr>
        <w:t>122</w:t>
      </w:r>
      <w:r>
        <w:rPr>
          <w:rFonts w:hint="eastAsia" w:cs="仿宋_GB2312"/>
          <w:snapToGrid/>
          <w:color w:val="000000" w:themeColor="text1"/>
          <w:kern w:val="2"/>
          <w:sz w:val="32"/>
          <w:szCs w:val="32"/>
          <w:lang w:eastAsia="zh-CN"/>
          <w14:textFill>
            <w14:solidFill>
              <w14:schemeClr w14:val="tx1"/>
            </w14:solidFill>
          </w14:textFill>
        </w:rPr>
        <w:t>,</w:t>
      </w:r>
      <w:r>
        <w:rPr>
          <w:rFonts w:cs="仿宋_GB2312"/>
          <w:snapToGrid/>
          <w:color w:val="000000" w:themeColor="text1"/>
          <w:kern w:val="2"/>
          <w:sz w:val="32"/>
          <w:szCs w:val="32"/>
          <w:lang w:eastAsia="zh-CN"/>
          <w14:textFill>
            <w14:solidFill>
              <w14:schemeClr w14:val="tx1"/>
            </w14:solidFill>
          </w14:textFill>
        </w:rPr>
        <w:t>556</w:t>
      </w:r>
      <w:r>
        <w:rPr>
          <w:rFonts w:hint="eastAsia" w:cs="仿宋_GB2312"/>
          <w:snapToGrid/>
          <w:color w:val="000000" w:themeColor="text1"/>
          <w:kern w:val="2"/>
          <w:sz w:val="32"/>
          <w:szCs w:val="32"/>
          <w:lang w:eastAsia="zh-CN"/>
          <w14:textFill>
            <w14:solidFill>
              <w14:schemeClr w14:val="tx1"/>
            </w14:solidFill>
          </w14:textFill>
        </w:rPr>
        <w:t>,</w:t>
      </w:r>
      <w:r>
        <w:rPr>
          <w:rFonts w:cs="仿宋_GB2312"/>
          <w:snapToGrid/>
          <w:color w:val="000000" w:themeColor="text1"/>
          <w:kern w:val="2"/>
          <w:sz w:val="32"/>
          <w:szCs w:val="32"/>
          <w:lang w:eastAsia="zh-CN"/>
          <w14:textFill>
            <w14:solidFill>
              <w14:schemeClr w14:val="tx1"/>
            </w14:solidFill>
          </w14:textFill>
        </w:rPr>
        <w:t>823.70</w:t>
      </w:r>
      <w:r>
        <w:rPr>
          <w:rFonts w:hint="eastAsia" w:cs="仿宋_GB2312"/>
          <w:snapToGrid/>
          <w:color w:val="000000" w:themeColor="text1"/>
          <w:kern w:val="2"/>
          <w:sz w:val="32"/>
          <w:szCs w:val="32"/>
          <w:lang w:eastAsia="zh-CN"/>
          <w14:textFill>
            <w14:solidFill>
              <w14:schemeClr w14:val="tx1"/>
            </w14:solidFill>
          </w14:textFill>
        </w:rPr>
        <w:t>元，结余比率</w:t>
      </w:r>
      <w:r>
        <w:rPr>
          <w:rFonts w:cs="仿宋_GB2312"/>
          <w:snapToGrid/>
          <w:color w:val="000000" w:themeColor="text1"/>
          <w:kern w:val="2"/>
          <w:sz w:val="32"/>
          <w:szCs w:val="32"/>
          <w:lang w:eastAsia="zh-CN"/>
          <w14:textFill>
            <w14:solidFill>
              <w14:schemeClr w14:val="tx1"/>
            </w14:solidFill>
          </w14:textFill>
        </w:rPr>
        <w:t>50.02%</w:t>
      </w:r>
      <w:r>
        <w:rPr>
          <w:rFonts w:hint="eastAsia"/>
          <w:kern w:val="2"/>
          <w:szCs w:val="32"/>
          <w:lang w:eastAsia="zh-CN"/>
        </w:rPr>
        <w:t>。</w:t>
      </w:r>
    </w:p>
    <w:p w14:paraId="1D22B431">
      <w:pPr>
        <w:pStyle w:val="2"/>
        <w:spacing w:before="246" w:line="570" w:lineRule="exact"/>
        <w:ind w:right="140" w:firstLine="642"/>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（4）资金管理制度及执行情况</w:t>
      </w:r>
    </w:p>
    <w:p w14:paraId="7E7D8F3D">
      <w:pPr>
        <w:pStyle w:val="2"/>
        <w:spacing w:before="246" w:line="570" w:lineRule="exact"/>
        <w:ind w:right="140" w:firstLine="642"/>
        <w:rPr>
          <w:rFonts w:hint="eastAsia"/>
          <w:kern w:val="2"/>
          <w:szCs w:val="32"/>
        </w:rPr>
      </w:pPr>
      <w:r>
        <w:rPr>
          <w:rFonts w:hint="eastAsia" w:cs="仿宋_GB2312"/>
          <w:snapToGrid/>
          <w:color w:val="000000" w:themeColor="text1"/>
          <w:kern w:val="2"/>
          <w:sz w:val="32"/>
          <w:szCs w:val="32"/>
          <w:lang w:eastAsia="zh-CN"/>
          <w14:textFill>
            <w14:solidFill>
              <w14:schemeClr w14:val="tx1"/>
            </w14:solidFill>
          </w14:textFill>
        </w:rPr>
        <w:t>专项资金由怀化职业技术学院计划财务处负责资金管理拨付，相关部门遵照相关财经制度执行</w:t>
      </w:r>
      <w:r>
        <w:rPr>
          <w:rFonts w:hint="eastAsia"/>
          <w:kern w:val="2"/>
          <w:szCs w:val="32"/>
        </w:rPr>
        <w:t xml:space="preserve">。 </w:t>
      </w:r>
    </w:p>
    <w:p w14:paraId="45F2DEBE">
      <w:pPr>
        <w:pStyle w:val="2"/>
        <w:spacing w:before="219" w:line="570" w:lineRule="exact"/>
        <w:ind w:firstLine="640" w:firstLineChars="200"/>
        <w:jc w:val="both"/>
        <w:rPr>
          <w:rFonts w:ascii="仿宋_GB2312" w:hAnsi="仿宋_GB2312" w:eastAsia="仿宋_GB2312" w:cs="仿宋_GB2312"/>
          <w:snapToGrid/>
          <w:color w:val="auto"/>
          <w:kern w:val="2"/>
          <w:sz w:val="32"/>
          <w:szCs w:val="32"/>
          <w:lang w:eastAsia="zh-CN"/>
        </w:rPr>
      </w:pPr>
      <w:r>
        <w:rPr>
          <w:rFonts w:hint="eastAsia" w:ascii="仿宋_GB2312" w:hAnsi="仿宋_GB2312" w:eastAsia="仿宋_GB2312" w:cs="仿宋_GB2312"/>
          <w:snapToGrid/>
          <w:color w:val="auto"/>
          <w:kern w:val="2"/>
          <w:sz w:val="32"/>
          <w:szCs w:val="32"/>
          <w:lang w:eastAsia="zh-CN"/>
        </w:rPr>
        <w:t>2.项目组织实施管理情况</w:t>
      </w:r>
    </w:p>
    <w:p w14:paraId="1157E6CF">
      <w:pPr>
        <w:widowControl w:val="0"/>
        <w:kinsoku/>
        <w:autoSpaceDE/>
        <w:autoSpaceDN/>
        <w:adjustRightInd/>
        <w:snapToGrid/>
        <w:spacing w:line="570" w:lineRule="exact"/>
        <w:ind w:firstLine="640" w:firstLineChars="200"/>
        <w:rPr>
          <w:rFonts w:ascii="仿宋" w:hAnsi="仿宋" w:eastAsia="仿宋" w:cs="仿宋_GB2312"/>
          <w:snapToGrid/>
          <w:color w:val="000000" w:themeColor="text1"/>
          <w:kern w:val="2"/>
          <w:sz w:val="32"/>
          <w:szCs w:val="32"/>
          <w:lang w:eastAsia="zh-CN"/>
          <w14:textFill>
            <w14:solidFill>
              <w14:schemeClr w14:val="tx1"/>
            </w14:solidFill>
          </w14:textFill>
        </w:rPr>
      </w:pPr>
      <w:r>
        <w:rPr>
          <w:rFonts w:hint="eastAsia" w:ascii="仿宋" w:hAnsi="仿宋" w:eastAsia="仿宋" w:cs="仿宋_GB2312"/>
          <w:snapToGrid/>
          <w:color w:val="000000" w:themeColor="text1"/>
          <w:kern w:val="2"/>
          <w:sz w:val="32"/>
          <w:szCs w:val="32"/>
          <w:lang w:eastAsia="zh-CN"/>
          <w14:textFill>
            <w14:solidFill>
              <w14:schemeClr w14:val="tx1"/>
            </w14:solidFill>
          </w14:textFill>
        </w:rPr>
        <w:t>本项目于 2022年5月24日正式开工，根据现场堪查、施工单位说明及《怀化职业技术学院.提质扩容修建性详细规划及建筑设计调整方案》等，确认项目完成情况如下：</w:t>
      </w:r>
    </w:p>
    <w:p w14:paraId="743E471F">
      <w:pPr>
        <w:widowControl w:val="0"/>
        <w:kinsoku/>
        <w:autoSpaceDE/>
        <w:autoSpaceDN/>
        <w:adjustRightInd/>
        <w:snapToGrid/>
        <w:spacing w:line="570" w:lineRule="exact"/>
        <w:ind w:firstLine="640" w:firstLineChars="200"/>
        <w:rPr>
          <w:rFonts w:ascii="仿宋" w:hAnsi="仿宋" w:eastAsia="仿宋" w:cs="仿宋_GB2312"/>
          <w:snapToGrid/>
          <w:color w:val="000000" w:themeColor="text1"/>
          <w:kern w:val="2"/>
          <w:sz w:val="32"/>
          <w:szCs w:val="32"/>
          <w:lang w:eastAsia="zh-CN"/>
          <w14:textFill>
            <w14:solidFill>
              <w14:schemeClr w14:val="tx1"/>
            </w14:solidFill>
          </w14:textFill>
        </w:rPr>
      </w:pPr>
      <w:r>
        <w:rPr>
          <w:rFonts w:hint="eastAsia" w:ascii="仿宋" w:hAnsi="仿宋" w:eastAsia="仿宋" w:cs="仿宋_GB2312"/>
          <w:snapToGrid/>
          <w:color w:val="000000" w:themeColor="text1"/>
          <w:kern w:val="2"/>
          <w:sz w:val="32"/>
          <w:szCs w:val="32"/>
          <w:lang w:eastAsia="zh-CN"/>
          <w14:textFill>
            <w14:solidFill>
              <w14:schemeClr w14:val="tx1"/>
            </w14:solidFill>
          </w14:textFill>
        </w:rPr>
        <w:t>（1）第二食堂及3栋学生宿舍整体已于2023年6月完成竣工验收，已投入使用。</w:t>
      </w:r>
    </w:p>
    <w:p w14:paraId="143B6BBF">
      <w:pPr>
        <w:widowControl w:val="0"/>
        <w:kinsoku/>
        <w:autoSpaceDE/>
        <w:autoSpaceDN/>
        <w:adjustRightInd/>
        <w:snapToGrid/>
        <w:spacing w:line="570" w:lineRule="exact"/>
        <w:ind w:firstLine="640" w:firstLineChars="200"/>
        <w:rPr>
          <w:rFonts w:ascii="仿宋" w:hAnsi="仿宋" w:eastAsia="仿宋" w:cs="仿宋_GB2312"/>
          <w:snapToGrid/>
          <w:color w:val="000000" w:themeColor="text1"/>
          <w:kern w:val="2"/>
          <w:sz w:val="32"/>
          <w:szCs w:val="32"/>
          <w:lang w:eastAsia="zh-CN"/>
          <w14:textFill>
            <w14:solidFill>
              <w14:schemeClr w14:val="tx1"/>
            </w14:solidFill>
          </w14:textFill>
        </w:rPr>
      </w:pPr>
      <w:r>
        <w:rPr>
          <w:rFonts w:hint="eastAsia" w:ascii="仿宋" w:hAnsi="仿宋" w:eastAsia="仿宋" w:cs="仿宋_GB2312"/>
          <w:snapToGrid/>
          <w:color w:val="000000" w:themeColor="text1"/>
          <w:kern w:val="2"/>
          <w:sz w:val="32"/>
          <w:szCs w:val="32"/>
          <w:lang w:eastAsia="zh-CN"/>
          <w14:textFill>
            <w14:solidFill>
              <w14:schemeClr w14:val="tx1"/>
            </w14:solidFill>
          </w14:textFill>
        </w:rPr>
        <w:t>（2）综合教学实训楼（1#）、创新创业服务中心（2#）、后勤及附属用房（3#）</w:t>
      </w:r>
      <w:r>
        <w:rPr>
          <w:rFonts w:hint="eastAsia" w:ascii="仿宋" w:hAnsi="仿宋" w:eastAsia="仿宋" w:cs="仿宋_GB2312"/>
          <w:snapToGrid/>
          <w:color w:val="000000" w:themeColor="text1"/>
          <w:kern w:val="2"/>
          <w:sz w:val="32"/>
          <w:szCs w:val="32"/>
          <w:lang w:val="en-US" w:eastAsia="zh-CN"/>
          <w14:textFill>
            <w14:solidFill>
              <w14:schemeClr w14:val="tx1"/>
            </w14:solidFill>
          </w14:textFill>
        </w:rPr>
        <w:t>2023年12月</w:t>
      </w:r>
      <w:r>
        <w:rPr>
          <w:rFonts w:hint="eastAsia" w:ascii="仿宋" w:hAnsi="仿宋" w:eastAsia="仿宋" w:cs="仿宋_GB2312"/>
          <w:snapToGrid/>
          <w:color w:val="000000" w:themeColor="text1"/>
          <w:kern w:val="2"/>
          <w:sz w:val="32"/>
          <w:szCs w:val="32"/>
          <w:lang w:eastAsia="zh-CN"/>
          <w14:textFill>
            <w14:solidFill>
              <w14:schemeClr w14:val="tx1"/>
            </w14:solidFill>
          </w14:textFill>
        </w:rPr>
        <w:t>主体工程已全面完工，进入装饰装修收尾阶段，室外附属工程已基本完工，正在组织完成1-3#栋验收相关工作。</w:t>
      </w:r>
    </w:p>
    <w:p w14:paraId="32FCA632">
      <w:pPr>
        <w:widowControl w:val="0"/>
        <w:kinsoku/>
        <w:autoSpaceDE/>
        <w:autoSpaceDN/>
        <w:adjustRightInd/>
        <w:snapToGrid/>
        <w:spacing w:line="570" w:lineRule="exact"/>
        <w:ind w:firstLine="640" w:firstLineChars="200"/>
        <w:rPr>
          <w:rFonts w:hint="eastAsia" w:ascii="仿宋" w:hAnsi="仿宋" w:eastAsia="仿宋" w:cs="仿宋_GB2312"/>
          <w:snapToGrid/>
          <w:color w:val="000000" w:themeColor="text1"/>
          <w:kern w:val="2"/>
          <w:sz w:val="32"/>
          <w:szCs w:val="32"/>
          <w:lang w:val="en-US" w:eastAsia="zh-CN"/>
          <w14:textFill>
            <w14:solidFill>
              <w14:schemeClr w14:val="tx1"/>
            </w14:solidFill>
          </w14:textFill>
        </w:rPr>
      </w:pPr>
      <w:r>
        <w:rPr>
          <w:rFonts w:hint="eastAsia" w:ascii="仿宋" w:hAnsi="仿宋" w:eastAsia="仿宋" w:cs="仿宋_GB2312"/>
          <w:snapToGrid/>
          <w:color w:val="000000" w:themeColor="text1"/>
          <w:kern w:val="2"/>
          <w:sz w:val="32"/>
          <w:szCs w:val="32"/>
          <w:lang w:eastAsia="zh-CN"/>
          <w14:textFill>
            <w14:solidFill>
              <w14:schemeClr w14:val="tx1"/>
            </w14:solidFill>
          </w14:textFill>
        </w:rPr>
        <w:t>（3）</w:t>
      </w:r>
      <w:r>
        <w:rPr>
          <w:rFonts w:hint="eastAsia" w:ascii="仿宋" w:hAnsi="仿宋" w:eastAsia="仿宋" w:cs="仿宋_GB2312"/>
          <w:snapToGrid/>
          <w:color w:val="000000" w:themeColor="text1"/>
          <w:kern w:val="2"/>
          <w:sz w:val="32"/>
          <w:szCs w:val="32"/>
          <w:lang w:val="en-US" w:eastAsia="zh-CN"/>
          <w14:textFill>
            <w14:solidFill>
              <w14:schemeClr w14:val="tx1"/>
            </w14:solidFill>
          </w14:textFill>
        </w:rPr>
        <w:t>实训工厂及现代物流实习基地未动工（因怀化市宇腾 机动车驾驶员培训有限公司位于实训工厂计划建设地点，驾校 尚在合同期内一直未实施搬迁，实训工厂无法动工） ，经怀化 国际陆港经开区城乡规划委员会审议， 同意对该两项建设规划 进行调整，2023 年 6 月 12 日怀化市自然资源和规划局已审批同 意《怀化职业技术学院提质扩容（一期）综合教学实训工厂修 建性详细规划（调整）》 图纸。</w:t>
      </w:r>
    </w:p>
    <w:p w14:paraId="2180A927">
      <w:pPr>
        <w:widowControl w:val="0"/>
        <w:kinsoku/>
        <w:autoSpaceDE/>
        <w:autoSpaceDN/>
        <w:spacing w:before="240" w:beforeLines="100" w:line="560" w:lineRule="exact"/>
        <w:ind w:firstLine="643" w:firstLineChars="200"/>
        <w:jc w:val="both"/>
        <w:textAlignment w:val="auto"/>
        <w:rPr>
          <w:rFonts w:hint="eastAsia" w:ascii="楷体_GB2312" w:hAnsi="楷体_GB2312" w:eastAsia="楷体_GB2312" w:cs="楷体_GB2312"/>
          <w:b/>
          <w:bCs/>
          <w:snapToGrid/>
          <w:color w:val="auto"/>
          <w:kern w:val="2"/>
          <w:sz w:val="32"/>
          <w:szCs w:val="32"/>
          <w:lang w:eastAsia="zh-CN"/>
        </w:rPr>
      </w:pPr>
      <w:r>
        <w:rPr>
          <w:rFonts w:hint="eastAsia" w:ascii="楷体_GB2312" w:hAnsi="楷体_GB2312" w:eastAsia="楷体_GB2312" w:cs="楷体_GB2312"/>
          <w:b/>
          <w:bCs/>
          <w:snapToGrid/>
          <w:color w:val="auto"/>
          <w:kern w:val="2"/>
          <w:sz w:val="32"/>
          <w:szCs w:val="32"/>
          <w:lang w:eastAsia="zh-CN"/>
        </w:rPr>
        <w:t>（三）预算绩效目标情况</w:t>
      </w:r>
    </w:p>
    <w:p w14:paraId="72E186DD">
      <w:pPr>
        <w:pStyle w:val="2"/>
        <w:spacing w:before="160" w:line="372" w:lineRule="auto"/>
        <w:ind w:firstLine="652"/>
        <w:jc w:val="both"/>
        <w:rPr>
          <w:rFonts w:ascii="仿宋_GB2312" w:hAnsi="仿宋_GB2312" w:eastAsia="仿宋_GB2312" w:cs="仿宋_GB2312"/>
          <w:b/>
          <w:bCs/>
          <w:snapToGrid/>
          <w:color w:val="auto"/>
          <w:kern w:val="2"/>
          <w:sz w:val="32"/>
          <w:szCs w:val="32"/>
          <w:lang w:eastAsia="zh-CN"/>
        </w:rPr>
      </w:pPr>
      <w:r>
        <w:rPr>
          <w:rFonts w:hint="eastAsia" w:ascii="仿宋_GB2312" w:hAnsi="仿宋_GB2312" w:eastAsia="仿宋_GB2312" w:cs="仿宋_GB2312"/>
          <w:b/>
          <w:bCs/>
          <w:snapToGrid/>
          <w:color w:val="auto"/>
          <w:kern w:val="2"/>
          <w:sz w:val="32"/>
          <w:szCs w:val="32"/>
          <w:lang w:eastAsia="zh-CN"/>
        </w:rPr>
        <w:t>1.绩效目标</w:t>
      </w:r>
    </w:p>
    <w:p w14:paraId="15B20012">
      <w:pPr>
        <w:pStyle w:val="2"/>
        <w:spacing w:before="160" w:line="360" w:lineRule="auto"/>
        <w:ind w:firstLine="652"/>
        <w:jc w:val="both"/>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1）总体目标。为当地经济建设培养更多的优秀人才，为怀化市各项事业的发展提供强有力的后备力量，从而提高当地的经济发展水平。同时在项目建设过程中，一定程度带动城乡剩余劳动力就业。拉动项目周边的基础设施建设及第三产业的繁荣，提高城市综合竞争力，加快城市化进程。</w:t>
      </w:r>
    </w:p>
    <w:p w14:paraId="68B96A22">
      <w:pPr>
        <w:pStyle w:val="2"/>
        <w:spacing w:before="160" w:line="360" w:lineRule="auto"/>
        <w:ind w:firstLine="652"/>
        <w:jc w:val="both"/>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（2）具体目标。依据项目预算批复和概算批复的要求，完成学生公寓、综合教学实训楼、第二食堂、学生创新创业服务中心、现代物流实习实训基地、综合教学实训工厂、后勤及附属用房、配套设施等的建设。</w:t>
      </w:r>
    </w:p>
    <w:p w14:paraId="05B80E56">
      <w:pPr>
        <w:pStyle w:val="2"/>
        <w:spacing w:before="160" w:line="372" w:lineRule="auto"/>
        <w:ind w:firstLine="652"/>
        <w:jc w:val="both"/>
        <w:rPr>
          <w:rFonts w:ascii="仿宋_GB2312" w:hAnsi="仿宋_GB2312" w:eastAsia="仿宋_GB2312" w:cs="仿宋_GB2312"/>
          <w:b/>
          <w:bCs/>
          <w:snapToGrid/>
          <w:color w:val="auto"/>
          <w:kern w:val="2"/>
          <w:sz w:val="32"/>
          <w:szCs w:val="32"/>
          <w:lang w:eastAsia="zh-CN"/>
        </w:rPr>
      </w:pPr>
      <w:r>
        <w:rPr>
          <w:rFonts w:hint="eastAsia" w:ascii="仿宋_GB2312" w:hAnsi="仿宋_GB2312" w:eastAsia="仿宋_GB2312" w:cs="仿宋_GB2312"/>
          <w:b/>
          <w:bCs/>
          <w:snapToGrid/>
          <w:color w:val="auto"/>
          <w:kern w:val="2"/>
          <w:sz w:val="32"/>
          <w:szCs w:val="32"/>
          <w:lang w:eastAsia="zh-CN"/>
        </w:rPr>
        <w:t>2.绩效指标</w:t>
      </w:r>
    </w:p>
    <w:p w14:paraId="08DD0DC7">
      <w:pPr>
        <w:spacing w:line="6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（1）数量指标</w:t>
      </w:r>
    </w:p>
    <w:p w14:paraId="32ED8D11">
      <w:pPr>
        <w:spacing w:line="62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满足入住学生数</w:t>
      </w:r>
      <w:r>
        <w:rPr>
          <w:rFonts w:hint="eastAsia" w:ascii="仿宋" w:hAnsi="仿宋" w:eastAsia="仿宋" w:cs="仿宋"/>
          <w:sz w:val="32"/>
          <w:szCs w:val="32"/>
          <w:lang w:val="en-US" w:eastAsia="zh-CN"/>
        </w:rPr>
        <w:t>3000人，满足就餐人数4000人。</w:t>
      </w:r>
    </w:p>
    <w:p w14:paraId="2620CA9E">
      <w:pPr>
        <w:spacing w:line="6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（2）质量指标</w:t>
      </w:r>
    </w:p>
    <w:p w14:paraId="3D9649FB">
      <w:pPr>
        <w:spacing w:line="6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完成3栋学生宿舍、1栋食堂、1栋综合实训楼、1栋创新创业大楼、1栋后勤附属用房，并达到验收合格。</w:t>
      </w:r>
    </w:p>
    <w:p w14:paraId="3B827AA6">
      <w:pPr>
        <w:spacing w:line="6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（3）时效指标</w:t>
      </w:r>
    </w:p>
    <w:p w14:paraId="40AC1B72">
      <w:pPr>
        <w:spacing w:line="6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2023年12月底之前完成。</w:t>
      </w:r>
    </w:p>
    <w:p w14:paraId="21885FEA">
      <w:pPr>
        <w:spacing w:line="6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（4）成本指标</w:t>
      </w:r>
    </w:p>
    <w:p w14:paraId="56FCFAF8">
      <w:pPr>
        <w:spacing w:line="6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在项目计划安排支出内执行。</w:t>
      </w:r>
    </w:p>
    <w:p w14:paraId="2C299203">
      <w:pPr>
        <w:widowControl w:val="0"/>
        <w:kinsoku/>
        <w:autoSpaceDE/>
        <w:autoSpaceDN/>
        <w:spacing w:line="560" w:lineRule="exact"/>
        <w:ind w:firstLine="640" w:firstLineChars="200"/>
        <w:jc w:val="both"/>
        <w:textAlignment w:val="auto"/>
        <w:rPr>
          <w:rFonts w:hint="eastAsia" w:ascii="黑体" w:hAnsi="黑体" w:eastAsia="黑体" w:cs="黑体"/>
          <w:snapToGrid/>
          <w:color w:val="auto"/>
          <w:kern w:val="2"/>
          <w:sz w:val="32"/>
          <w:szCs w:val="32"/>
          <w:lang w:eastAsia="zh-CN"/>
        </w:rPr>
      </w:pPr>
      <w:bookmarkStart w:id="10" w:name="bookmark21"/>
      <w:bookmarkEnd w:id="10"/>
      <w:bookmarkStart w:id="11" w:name="bookmark13"/>
      <w:bookmarkEnd w:id="11"/>
      <w:bookmarkStart w:id="12" w:name="bookmark14"/>
      <w:bookmarkEnd w:id="12"/>
      <w:bookmarkStart w:id="13" w:name="bookmark16"/>
      <w:bookmarkEnd w:id="13"/>
      <w:bookmarkStart w:id="14" w:name="bookmark19"/>
      <w:bookmarkEnd w:id="14"/>
      <w:bookmarkStart w:id="15" w:name="bookmark22"/>
      <w:bookmarkEnd w:id="15"/>
      <w:bookmarkStart w:id="16" w:name="bookmark20"/>
      <w:bookmarkEnd w:id="16"/>
      <w:bookmarkStart w:id="17" w:name="bookmark24"/>
      <w:bookmarkEnd w:id="17"/>
      <w:r>
        <w:rPr>
          <w:rFonts w:hint="eastAsia" w:ascii="黑体" w:hAnsi="黑体" w:eastAsia="黑体" w:cs="黑体"/>
          <w:snapToGrid/>
          <w:color w:val="auto"/>
          <w:kern w:val="2"/>
          <w:sz w:val="32"/>
          <w:szCs w:val="32"/>
          <w:lang w:eastAsia="zh-CN"/>
        </w:rPr>
        <w:t>二、绩效评价工作情况</w:t>
      </w:r>
    </w:p>
    <w:p w14:paraId="51D35A00">
      <w:pPr>
        <w:widowControl w:val="0"/>
        <w:kinsoku/>
        <w:autoSpaceDE/>
        <w:autoSpaceDN/>
        <w:spacing w:line="560" w:lineRule="exact"/>
        <w:ind w:firstLine="643" w:firstLineChars="200"/>
        <w:jc w:val="both"/>
        <w:textAlignment w:val="auto"/>
        <w:rPr>
          <w:rFonts w:hint="eastAsia" w:ascii="楷体_GB2312" w:hAnsi="楷体_GB2312" w:eastAsia="楷体_GB2312" w:cs="楷体_GB2312"/>
          <w:b/>
          <w:bCs/>
          <w:snapToGrid/>
          <w:color w:val="auto"/>
          <w:kern w:val="2"/>
          <w:sz w:val="32"/>
          <w:szCs w:val="32"/>
          <w:lang w:eastAsia="zh-CN"/>
        </w:rPr>
      </w:pPr>
      <w:bookmarkStart w:id="18" w:name="bookmark23"/>
      <w:bookmarkEnd w:id="18"/>
      <w:r>
        <w:rPr>
          <w:rFonts w:hint="eastAsia" w:ascii="楷体_GB2312" w:hAnsi="楷体_GB2312" w:eastAsia="楷体_GB2312" w:cs="楷体_GB2312"/>
          <w:b/>
          <w:bCs/>
          <w:snapToGrid/>
          <w:color w:val="auto"/>
          <w:kern w:val="2"/>
          <w:sz w:val="32"/>
          <w:szCs w:val="32"/>
          <w:lang w:eastAsia="zh-CN"/>
        </w:rPr>
        <w:t>（一）绩效评价目的</w:t>
      </w:r>
    </w:p>
    <w:p w14:paraId="343094D5">
      <w:pPr>
        <w:pStyle w:val="2"/>
        <w:spacing w:before="237" w:line="372" w:lineRule="auto"/>
        <w:ind w:left="1" w:firstLine="642"/>
        <w:jc w:val="both"/>
        <w:rPr>
          <w:rFonts w:ascii="仿宋_GB2312" w:hAnsi="仿宋_GB2312" w:eastAsia="仿宋_GB2312" w:cs="仿宋_GB2312"/>
          <w:sz w:val="32"/>
          <w:szCs w:val="32"/>
          <w:lang w:eastAsia="zh-CN"/>
        </w:rPr>
      </w:pPr>
      <w:r>
        <w:rPr>
          <w:rFonts w:hint="eastAsia" w:cs="仿宋_GB2312"/>
          <w:snapToGrid/>
          <w:color w:val="000000" w:themeColor="text1"/>
          <w:kern w:val="2"/>
          <w:sz w:val="32"/>
          <w:szCs w:val="32"/>
          <w:lang w:eastAsia="zh-CN"/>
          <w14:textFill>
            <w14:solidFill>
              <w14:schemeClr w14:val="tx1"/>
            </w14:solidFill>
          </w14:textFill>
        </w:rPr>
        <w:t>绩效评价目的主要是对怀化职业技术学院提质扩容建设项目一期工程债券的使用情况、资金使用效果、项目执行情况等进行全面、客观、科学地评价，以便及时了解政府专项债券的使用情况和投入产出情况，及时发现专项债券资金管理中存在的问题，进一步规范和加强专项资金使用管理，切实提高财政资金使用效益，为政府部门和社会公众提供决策参考。</w:t>
      </w:r>
    </w:p>
    <w:p w14:paraId="46CA7942">
      <w:pPr>
        <w:widowControl w:val="0"/>
        <w:kinsoku/>
        <w:autoSpaceDE/>
        <w:autoSpaceDN/>
        <w:spacing w:line="560" w:lineRule="exact"/>
        <w:ind w:firstLine="643" w:firstLineChars="200"/>
        <w:jc w:val="both"/>
        <w:textAlignment w:val="auto"/>
        <w:rPr>
          <w:rFonts w:hint="eastAsia" w:ascii="楷体_GB2312" w:hAnsi="楷体_GB2312" w:eastAsia="楷体_GB2312" w:cs="楷体_GB2312"/>
          <w:b/>
          <w:bCs/>
          <w:snapToGrid/>
          <w:color w:val="auto"/>
          <w:kern w:val="2"/>
          <w:sz w:val="32"/>
          <w:szCs w:val="32"/>
          <w:lang w:eastAsia="zh-CN"/>
        </w:rPr>
      </w:pPr>
      <w:bookmarkStart w:id="19" w:name="bookmark25"/>
      <w:bookmarkEnd w:id="19"/>
      <w:bookmarkStart w:id="20" w:name="bookmark26"/>
      <w:bookmarkEnd w:id="20"/>
      <w:r>
        <w:rPr>
          <w:rFonts w:hint="eastAsia" w:ascii="楷体_GB2312" w:hAnsi="楷体_GB2312" w:eastAsia="楷体_GB2312" w:cs="楷体_GB2312"/>
          <w:b/>
          <w:bCs/>
          <w:snapToGrid/>
          <w:color w:val="auto"/>
          <w:kern w:val="2"/>
          <w:sz w:val="32"/>
          <w:szCs w:val="32"/>
          <w:lang w:eastAsia="zh-CN"/>
        </w:rPr>
        <w:t>（二）被评价单位、绩效评价范围与时段</w:t>
      </w:r>
    </w:p>
    <w:p w14:paraId="609AB68F">
      <w:pPr>
        <w:spacing w:before="242" w:line="360" w:lineRule="auto"/>
        <w:ind w:firstLine="640" w:firstLineChars="200"/>
        <w:outlineLvl w:val="1"/>
        <w:rPr>
          <w:rFonts w:ascii="仿宋" w:hAnsi="仿宋" w:eastAsia="仿宋" w:cs="仿宋_GB2312"/>
          <w:snapToGrid/>
          <w:color w:val="000000" w:themeColor="text1"/>
          <w:kern w:val="2"/>
          <w:sz w:val="32"/>
          <w:szCs w:val="32"/>
          <w:lang w:eastAsia="zh-CN"/>
          <w14:textFill>
            <w14:solidFill>
              <w14:schemeClr w14:val="tx1"/>
            </w14:solidFill>
          </w14:textFill>
        </w:rPr>
      </w:pPr>
      <w:r>
        <w:rPr>
          <w:rFonts w:hint="eastAsia" w:ascii="仿宋" w:hAnsi="仿宋" w:eastAsia="仿宋" w:cs="仿宋_GB2312"/>
          <w:snapToGrid/>
          <w:color w:val="000000" w:themeColor="text1"/>
          <w:kern w:val="2"/>
          <w:sz w:val="32"/>
          <w:szCs w:val="32"/>
          <w:lang w:eastAsia="zh-CN"/>
          <w14:textFill>
            <w14:solidFill>
              <w14:schemeClr w14:val="tx1"/>
            </w14:solidFill>
          </w14:textFill>
        </w:rPr>
        <w:t>绩效评价单位为怀化职业技术学院，主要评价2023年1月至2023年12月怀化职业技术学院提质扩容建设项目一期工程债券资金的使用情况、资金使用效果、项目执行情况等。</w:t>
      </w:r>
    </w:p>
    <w:p w14:paraId="2A5A8722">
      <w:pPr>
        <w:widowControl w:val="0"/>
        <w:kinsoku/>
        <w:autoSpaceDE/>
        <w:autoSpaceDN/>
        <w:spacing w:line="560" w:lineRule="exact"/>
        <w:ind w:firstLine="643" w:firstLineChars="200"/>
        <w:jc w:val="both"/>
        <w:textAlignment w:val="auto"/>
        <w:rPr>
          <w:rFonts w:hint="eastAsia" w:ascii="楷体_GB2312" w:hAnsi="楷体_GB2312" w:eastAsia="楷体_GB2312" w:cs="楷体_GB2312"/>
          <w:b/>
          <w:bCs/>
          <w:snapToGrid/>
          <w:color w:val="auto"/>
          <w:kern w:val="2"/>
          <w:sz w:val="32"/>
          <w:szCs w:val="32"/>
          <w:lang w:eastAsia="zh-CN"/>
        </w:rPr>
      </w:pPr>
      <w:bookmarkStart w:id="21" w:name="bookmark28"/>
      <w:bookmarkEnd w:id="21"/>
      <w:bookmarkStart w:id="22" w:name="bookmark27"/>
      <w:bookmarkEnd w:id="22"/>
      <w:r>
        <w:rPr>
          <w:rFonts w:hint="eastAsia" w:ascii="楷体_GB2312" w:hAnsi="楷体_GB2312" w:eastAsia="楷体_GB2312" w:cs="楷体_GB2312"/>
          <w:b/>
          <w:bCs/>
          <w:snapToGrid/>
          <w:color w:val="auto"/>
          <w:kern w:val="2"/>
          <w:sz w:val="32"/>
          <w:szCs w:val="32"/>
          <w:lang w:eastAsia="zh-CN"/>
        </w:rPr>
        <w:t>（三）绩效评价原则、评价指标体系、评价方法</w:t>
      </w:r>
    </w:p>
    <w:p w14:paraId="6DFEEE81">
      <w:pPr>
        <w:pStyle w:val="2"/>
        <w:spacing w:before="237" w:line="360" w:lineRule="auto"/>
        <w:ind w:left="1" w:firstLine="642"/>
        <w:jc w:val="both"/>
        <w:rPr>
          <w:rFonts w:ascii="仿宋_GB2312" w:hAnsi="仿宋_GB2312" w:eastAsia="仿宋_GB2312" w:cs="仿宋_GB2312"/>
          <w:spacing w:val="12"/>
          <w:sz w:val="32"/>
          <w:szCs w:val="32"/>
          <w:lang w:eastAsia="zh-CN"/>
        </w:rPr>
      </w:pPr>
      <w:r>
        <w:rPr>
          <w:rFonts w:hint="eastAsia" w:ascii="仿宋_GB2312" w:hAnsi="仿宋_GB2312" w:eastAsia="仿宋_GB2312" w:cs="仿宋_GB2312"/>
          <w:spacing w:val="12"/>
          <w:sz w:val="32"/>
          <w:szCs w:val="32"/>
          <w:lang w:eastAsia="zh-CN"/>
        </w:rPr>
        <w:t>1.绩效评价原则</w:t>
      </w:r>
      <w:r>
        <w:rPr>
          <w:rFonts w:ascii="仿宋_GB2312" w:hAnsi="仿宋_GB2312" w:eastAsia="仿宋_GB2312" w:cs="仿宋_GB2312"/>
          <w:spacing w:val="12"/>
          <w:sz w:val="32"/>
          <w:szCs w:val="32"/>
          <w:lang w:eastAsia="zh-CN"/>
        </w:rPr>
        <w:t xml:space="preserve"> </w:t>
      </w:r>
    </w:p>
    <w:p w14:paraId="6810ABD2">
      <w:pPr>
        <w:pStyle w:val="2"/>
        <w:spacing w:before="240" w:line="360" w:lineRule="auto"/>
        <w:ind w:left="2" w:firstLine="649"/>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（1）绩效导向原则。预算绩效管理各个环节要以绩效为核心导向，将绩效管理贯穿于预算管理全过程，实现财政资金运行和预算管理效益最大化。</w:t>
      </w:r>
    </w:p>
    <w:p w14:paraId="629C72ED">
      <w:pPr>
        <w:pStyle w:val="2"/>
        <w:spacing w:before="240" w:line="570" w:lineRule="exact"/>
        <w:ind w:left="2" w:firstLine="649"/>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（2）绩效目标管理原则。预算绩效管理要围绕绩效目标来进行，事前设定目标、事中监控目标实现进程、事后评价目标完成情况。</w:t>
      </w:r>
    </w:p>
    <w:p w14:paraId="26F1CD8F">
      <w:pPr>
        <w:pStyle w:val="2"/>
        <w:spacing w:before="240" w:line="570" w:lineRule="exact"/>
        <w:ind w:left="2" w:firstLine="649"/>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（3）客观公正原则。绩效评价应基于客观、可量化的数据和事实，而非主观臆断，评价结果应当真实、准确、公正。</w:t>
      </w:r>
    </w:p>
    <w:p w14:paraId="2567AA29">
      <w:pPr>
        <w:pStyle w:val="2"/>
        <w:spacing w:before="240" w:line="570" w:lineRule="exact"/>
        <w:ind w:left="2" w:firstLine="649"/>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（4）责任追究原则。预算绩效管理强调各部门的预算支出责任和财政部门的监管责任，实行绩效问责。</w:t>
      </w:r>
    </w:p>
    <w:p w14:paraId="14F7BE1D">
      <w:pPr>
        <w:pStyle w:val="2"/>
        <w:spacing w:before="240" w:line="570" w:lineRule="exact"/>
        <w:ind w:left="2" w:firstLine="649"/>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（5）信息公开原则。绩效目标及预算支出结果信息要逐步向社会公开，接受有关机构和社会公众的监督。</w:t>
      </w:r>
    </w:p>
    <w:p w14:paraId="12922D8D">
      <w:pPr>
        <w:pStyle w:val="2"/>
        <w:spacing w:before="237" w:line="372" w:lineRule="auto"/>
        <w:ind w:firstLine="672" w:firstLineChars="200"/>
        <w:jc w:val="both"/>
        <w:rPr>
          <w:rFonts w:ascii="仿宋_GB2312" w:hAnsi="仿宋_GB2312" w:eastAsia="仿宋_GB2312" w:cs="仿宋_GB2312"/>
          <w:spacing w:val="12"/>
          <w:sz w:val="32"/>
          <w:szCs w:val="32"/>
          <w:lang w:eastAsia="zh-CN"/>
        </w:rPr>
      </w:pPr>
      <w:r>
        <w:rPr>
          <w:rFonts w:hint="eastAsia" w:ascii="仿宋_GB2312" w:hAnsi="仿宋_GB2312" w:eastAsia="仿宋_GB2312" w:cs="仿宋_GB2312"/>
          <w:spacing w:val="8"/>
          <w:sz w:val="32"/>
          <w:szCs w:val="32"/>
          <w:lang w:eastAsia="zh-CN"/>
        </w:rPr>
        <w:t xml:space="preserve"> </w:t>
      </w:r>
      <w:r>
        <w:rPr>
          <w:rFonts w:hint="eastAsia" w:ascii="仿宋_GB2312" w:hAnsi="仿宋_GB2312" w:eastAsia="仿宋_GB2312" w:cs="仿宋_GB2312"/>
          <w:spacing w:val="12"/>
          <w:sz w:val="32"/>
          <w:szCs w:val="32"/>
          <w:lang w:eastAsia="zh-CN"/>
        </w:rPr>
        <w:t>2.评价指标体系</w:t>
      </w:r>
    </w:p>
    <w:p w14:paraId="680077FA">
      <w:pPr>
        <w:shd w:val="clear" w:color="auto" w:fill="FFFFFF"/>
        <w:spacing w:line="360" w:lineRule="auto"/>
        <w:ind w:firstLine="640"/>
        <w:rPr>
          <w:rFonts w:ascii="仿宋" w:hAnsi="仿宋" w:eastAsia="仿宋" w:cs="仿宋_GB2312"/>
          <w:snapToGrid/>
          <w:color w:val="000000" w:themeColor="text1"/>
          <w:kern w:val="2"/>
          <w:sz w:val="32"/>
          <w:szCs w:val="32"/>
          <w:lang w:eastAsia="zh-CN"/>
          <w14:textFill>
            <w14:solidFill>
              <w14:schemeClr w14:val="tx1"/>
            </w14:solidFill>
          </w14:textFill>
        </w:rPr>
      </w:pPr>
      <w:r>
        <w:rPr>
          <w:rFonts w:hint="eastAsia" w:ascii="仿宋" w:hAnsi="仿宋" w:eastAsia="仿宋" w:cs="仿宋_GB2312"/>
          <w:snapToGrid/>
          <w:color w:val="000000" w:themeColor="text1"/>
          <w:kern w:val="2"/>
          <w:sz w:val="32"/>
          <w:szCs w:val="32"/>
          <w:lang w:eastAsia="zh-CN"/>
          <w14:textFill>
            <w14:solidFill>
              <w14:schemeClr w14:val="tx1"/>
            </w14:solidFill>
          </w14:textFill>
        </w:rPr>
        <w:t>评价指标体系根据绩效评价的基本原理、原则和项目特点，结合《项目支出绩效评价管理办法》、</w:t>
      </w:r>
      <w:r>
        <w:rPr>
          <w:rFonts w:ascii="仿宋" w:hAnsi="仿宋" w:eastAsia="仿宋" w:cs="仿宋_GB2312"/>
          <w:snapToGrid/>
          <w:color w:val="000000" w:themeColor="text1"/>
          <w:kern w:val="2"/>
          <w:sz w:val="32"/>
          <w:szCs w:val="32"/>
          <w:lang w:eastAsia="zh-CN"/>
          <w14:textFill>
            <w14:solidFill>
              <w14:schemeClr w14:val="tx1"/>
            </w14:solidFill>
          </w14:textFill>
        </w:rPr>
        <w:t>《湖南省预算支出绩效评价管理办法》</w:t>
      </w:r>
      <w:r>
        <w:rPr>
          <w:rFonts w:hint="eastAsia" w:ascii="仿宋" w:hAnsi="仿宋" w:eastAsia="仿宋" w:cs="仿宋_GB2312"/>
          <w:snapToGrid/>
          <w:color w:val="000000" w:themeColor="text1"/>
          <w:kern w:val="2"/>
          <w:sz w:val="32"/>
          <w:szCs w:val="32"/>
          <w:lang w:eastAsia="zh-CN"/>
          <w14:textFill>
            <w14:solidFill>
              <w14:schemeClr w14:val="tx1"/>
            </w14:solidFill>
          </w14:textFill>
        </w:rPr>
        <w:t>、后勤保卫处、提质扩容建设项目一期工程领导小组工作职责等有关要求设置，本次绩效评价指标体系分别从预算执行率、产出指标、效益指标、满意度指标等多个方面对其财政支出进行评价，详见附件1：</w:t>
      </w:r>
    </w:p>
    <w:p w14:paraId="72FC2A76">
      <w:pPr>
        <w:pStyle w:val="2"/>
        <w:spacing w:before="237" w:line="372" w:lineRule="auto"/>
        <w:ind w:firstLine="672" w:firstLineChars="200"/>
        <w:jc w:val="both"/>
        <w:rPr>
          <w:rFonts w:ascii="仿宋_GB2312" w:hAnsi="仿宋_GB2312" w:eastAsia="仿宋_GB2312" w:cs="仿宋_GB2312"/>
          <w:spacing w:val="8"/>
          <w:sz w:val="32"/>
          <w:szCs w:val="32"/>
          <w:lang w:eastAsia="zh-CN"/>
        </w:rPr>
      </w:pPr>
      <w:r>
        <w:rPr>
          <w:rFonts w:hint="eastAsia" w:ascii="仿宋_GB2312" w:hAnsi="仿宋_GB2312" w:eastAsia="仿宋_GB2312" w:cs="仿宋_GB2312"/>
          <w:spacing w:val="8"/>
          <w:sz w:val="32"/>
          <w:szCs w:val="32"/>
          <w:lang w:eastAsia="zh-CN"/>
        </w:rPr>
        <w:t>3.评价方法</w:t>
      </w:r>
    </w:p>
    <w:p w14:paraId="7F45227E">
      <w:pPr>
        <w:pStyle w:val="2"/>
        <w:spacing w:before="237" w:line="372" w:lineRule="auto"/>
        <w:ind w:left="1" w:firstLine="642"/>
        <w:jc w:val="both"/>
        <w:rPr>
          <w:rFonts w:cs="仿宋_GB2312"/>
          <w:snapToGrid/>
          <w:color w:val="000000" w:themeColor="text1"/>
          <w:kern w:val="2"/>
          <w:sz w:val="32"/>
          <w:szCs w:val="32"/>
          <w:lang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项目绩效评价实施过程中，依据项目实际情况，</w:t>
      </w:r>
      <w:bookmarkStart w:id="23" w:name="bookmark109"/>
      <w:bookmarkEnd w:id="23"/>
      <w:r>
        <w:rPr>
          <w:rFonts w:hint="eastAsia" w:cs="仿宋_GB2312"/>
          <w:snapToGrid/>
          <w:color w:val="000000" w:themeColor="text1"/>
          <w:kern w:val="2"/>
          <w:sz w:val="32"/>
          <w:szCs w:val="32"/>
          <w:lang w:eastAsia="zh-CN"/>
          <w14:textFill>
            <w14:solidFill>
              <w14:schemeClr w14:val="tx1"/>
            </w14:solidFill>
          </w14:textFill>
        </w:rPr>
        <w:t>采取定性与定量相结合的方法，对绩效评价对象进行评估。主要采用成本效益分析法、比较法、因素分析法、公众评判法、问卷调查法等。</w:t>
      </w:r>
    </w:p>
    <w:p w14:paraId="1A493250">
      <w:pPr>
        <w:widowControl w:val="0"/>
        <w:kinsoku/>
        <w:autoSpaceDE/>
        <w:autoSpaceDN/>
        <w:adjustRightInd/>
        <w:snapToGrid/>
        <w:spacing w:line="570" w:lineRule="exact"/>
        <w:ind w:firstLine="640" w:firstLineChars="200"/>
        <w:rPr>
          <w:rFonts w:hint="eastAsia" w:ascii="黑体" w:hAnsi="黑体" w:eastAsia="黑体" w:cs="黑体"/>
          <w:snapToGrid/>
          <w:color w:val="000000" w:themeColor="text1"/>
          <w:kern w:val="2"/>
          <w:sz w:val="32"/>
          <w:szCs w:val="32"/>
          <w:lang w:eastAsia="zh-CN"/>
          <w14:textFill>
            <w14:solidFill>
              <w14:schemeClr w14:val="tx1"/>
            </w14:solidFill>
          </w14:textFill>
        </w:rPr>
      </w:pPr>
      <w:bookmarkStart w:id="24" w:name="bookmark29"/>
      <w:bookmarkEnd w:id="24"/>
      <w:bookmarkStart w:id="25" w:name="bookmark30"/>
      <w:bookmarkEnd w:id="25"/>
      <w:r>
        <w:rPr>
          <w:rFonts w:hint="eastAsia" w:ascii="黑体" w:hAnsi="黑体" w:eastAsia="黑体" w:cs="黑体"/>
          <w:snapToGrid/>
          <w:color w:val="000000" w:themeColor="text1"/>
          <w:kern w:val="2"/>
          <w:sz w:val="32"/>
          <w:szCs w:val="32"/>
          <w:lang w:eastAsia="zh-CN"/>
          <w14:textFill>
            <w14:solidFill>
              <w14:schemeClr w14:val="tx1"/>
            </w14:solidFill>
          </w14:textFill>
        </w:rPr>
        <w:t>三、主要绩效及评价结论</w:t>
      </w:r>
    </w:p>
    <w:p w14:paraId="7186396D">
      <w:pPr>
        <w:pStyle w:val="2"/>
        <w:spacing w:before="237" w:line="372" w:lineRule="auto"/>
        <w:ind w:left="1" w:firstLine="642"/>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eastAsia="zh-CN"/>
          <w14:textFill>
            <w14:solidFill>
              <w14:schemeClr w14:val="tx1"/>
            </w14:solidFill>
          </w14:textFill>
        </w:rPr>
        <w:t>（</w:t>
      </w:r>
      <w:r>
        <w:rPr>
          <w:rFonts w:hint="eastAsia" w:cs="仿宋_GB2312"/>
          <w:snapToGrid/>
          <w:color w:val="000000" w:themeColor="text1"/>
          <w:kern w:val="2"/>
          <w:sz w:val="32"/>
          <w:szCs w:val="32"/>
          <w:lang w:val="en-US" w:eastAsia="zh-CN"/>
          <w14:textFill>
            <w14:solidFill>
              <w14:schemeClr w14:val="tx1"/>
            </w14:solidFill>
          </w14:textFill>
        </w:rPr>
        <w:t>一</w:t>
      </w:r>
      <w:r>
        <w:rPr>
          <w:rFonts w:hint="eastAsia" w:cs="仿宋_GB2312"/>
          <w:snapToGrid/>
          <w:color w:val="000000" w:themeColor="text1"/>
          <w:kern w:val="2"/>
          <w:sz w:val="32"/>
          <w:szCs w:val="32"/>
          <w:lang w:eastAsia="zh-CN"/>
          <w14:textFill>
            <w14:solidFill>
              <w14:schemeClr w14:val="tx1"/>
            </w14:solidFill>
          </w14:textFill>
        </w:rPr>
        <w:t>）</w:t>
      </w:r>
      <w:r>
        <w:rPr>
          <w:rFonts w:hint="eastAsia" w:cs="仿宋_GB2312"/>
          <w:snapToGrid/>
          <w:color w:val="000000" w:themeColor="text1"/>
          <w:kern w:val="2"/>
          <w:sz w:val="32"/>
          <w:szCs w:val="32"/>
          <w:lang w:val="en-US" w:eastAsia="zh-CN"/>
          <w14:textFill>
            <w14:solidFill>
              <w14:schemeClr w14:val="tx1"/>
            </w14:solidFill>
          </w14:textFill>
        </w:rPr>
        <w:t>社会效益</w:t>
      </w:r>
    </w:p>
    <w:p w14:paraId="546E9D41">
      <w:pPr>
        <w:pStyle w:val="2"/>
        <w:spacing w:before="237" w:line="372" w:lineRule="auto"/>
        <w:ind w:left="1" w:firstLine="642"/>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val="en-US" w:eastAsia="zh-CN"/>
          <w14:textFill>
            <w14:solidFill>
              <w14:schemeClr w14:val="tx1"/>
            </w14:solidFill>
          </w14:textFill>
        </w:rPr>
        <w:t>学校提质扩容一期工程项目建设,现三栋学生宿舍，一栋新食堂已正式投入使用，并入住学生3024人，两个新食堂能同时满足4000多人就餐，社会效益明显，显著提升了学校办学条件。</w:t>
      </w:r>
    </w:p>
    <w:p w14:paraId="68ED899E">
      <w:pPr>
        <w:pStyle w:val="2"/>
        <w:spacing w:before="237" w:line="372" w:lineRule="auto"/>
        <w:ind w:left="1" w:firstLine="642"/>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val="en-US" w:eastAsia="zh-CN"/>
          <w14:textFill>
            <w14:solidFill>
              <w14:schemeClr w14:val="tx1"/>
            </w14:solidFill>
          </w14:textFill>
        </w:rPr>
        <w:t>（二）生态效益</w:t>
      </w:r>
    </w:p>
    <w:p w14:paraId="16DD9F51">
      <w:pPr>
        <w:pStyle w:val="2"/>
        <w:spacing w:before="237" w:line="372" w:lineRule="auto"/>
        <w:ind w:left="1" w:firstLine="642"/>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val="en-US" w:eastAsia="zh-CN"/>
          <w14:textFill>
            <w14:solidFill>
              <w14:schemeClr w14:val="tx1"/>
            </w14:solidFill>
          </w14:textFill>
        </w:rPr>
        <w:t>学校提质扩容一期工程项目建设,可增加绿化面积16285平方米，目前已经全部完成。新增了排水系统,消防体系进一步完善，能更好地美化环境，净化空气，生态效益明显。</w:t>
      </w:r>
    </w:p>
    <w:p w14:paraId="2A2405B8">
      <w:pPr>
        <w:pStyle w:val="2"/>
        <w:spacing w:before="237" w:line="372" w:lineRule="auto"/>
        <w:ind w:left="1" w:firstLine="642"/>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val="en-US" w:eastAsia="zh-CN"/>
          <w14:textFill>
            <w14:solidFill>
              <w14:schemeClr w14:val="tx1"/>
            </w14:solidFill>
          </w14:textFill>
        </w:rPr>
        <w:t>（三）可持续影响</w:t>
      </w:r>
    </w:p>
    <w:p w14:paraId="555C6F37">
      <w:pPr>
        <w:pStyle w:val="2"/>
        <w:spacing w:before="237" w:line="372" w:lineRule="auto"/>
        <w:ind w:left="1" w:firstLine="642"/>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val="en-US" w:eastAsia="zh-CN"/>
          <w14:textFill>
            <w14:solidFill>
              <w14:schemeClr w14:val="tx1"/>
            </w14:solidFill>
          </w14:textFill>
        </w:rPr>
        <w:t>改善办学条件，校园更加优美。</w:t>
      </w:r>
    </w:p>
    <w:p w14:paraId="25A22E90">
      <w:pPr>
        <w:pStyle w:val="2"/>
        <w:spacing w:before="237" w:line="372" w:lineRule="auto"/>
        <w:ind w:left="1" w:firstLine="642"/>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val="en-US" w:eastAsia="zh-CN"/>
          <w14:textFill>
            <w14:solidFill>
              <w14:schemeClr w14:val="tx1"/>
            </w14:solidFill>
          </w14:textFill>
        </w:rPr>
        <w:t>（四）满意度情况</w:t>
      </w:r>
    </w:p>
    <w:p w14:paraId="4606CBA7">
      <w:pPr>
        <w:pStyle w:val="2"/>
        <w:spacing w:before="237" w:line="372" w:lineRule="auto"/>
        <w:ind w:left="1" w:firstLine="642"/>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val="en-US" w:eastAsia="zh-CN"/>
          <w14:textFill>
            <w14:solidFill>
              <w14:schemeClr w14:val="tx1"/>
            </w14:solidFill>
          </w14:textFill>
        </w:rPr>
        <w:t>师生满意度高。</w:t>
      </w:r>
    </w:p>
    <w:p w14:paraId="003A444B">
      <w:pPr>
        <w:pStyle w:val="2"/>
        <w:spacing w:before="237" w:line="372" w:lineRule="auto"/>
        <w:ind w:left="1" w:firstLine="642"/>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val="en-US" w:eastAsia="zh-CN"/>
          <w14:textFill>
            <w14:solidFill>
              <w14:schemeClr w14:val="tx1"/>
            </w14:solidFill>
          </w14:textFill>
        </w:rPr>
        <w:t>（五）评价结论</w:t>
      </w:r>
    </w:p>
    <w:p w14:paraId="76750ACF">
      <w:pPr>
        <w:pStyle w:val="2"/>
        <w:spacing w:before="237" w:line="372" w:lineRule="auto"/>
        <w:ind w:left="1" w:firstLine="642"/>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val="en-US" w:eastAsia="zh-CN"/>
          <w14:textFill>
            <w14:solidFill>
              <w14:schemeClr w14:val="tx1"/>
            </w14:solidFill>
          </w14:textFill>
        </w:rPr>
        <w:t>本项目自评分满分为100分，自评分为81.48分，评价等级为良，达到预期绩效目标。</w:t>
      </w:r>
    </w:p>
    <w:p w14:paraId="5FC91D7F">
      <w:pPr>
        <w:pStyle w:val="2"/>
        <w:spacing w:before="239" w:line="372" w:lineRule="auto"/>
        <w:ind w:left="639"/>
        <w:rPr>
          <w:rFonts w:hint="eastAsia" w:ascii="楷体_GB2312" w:hAnsi="楷体_GB2312" w:eastAsia="楷体_GB2312" w:cs="楷体_GB2312"/>
          <w:color w:val="auto"/>
          <w:spacing w:val="12"/>
          <w:sz w:val="32"/>
          <w:szCs w:val="32"/>
          <w:lang w:eastAsia="zh-CN"/>
        </w:rPr>
      </w:pPr>
      <w:r>
        <w:rPr>
          <w:rFonts w:hint="eastAsia" w:ascii="楷体_GB2312" w:hAnsi="楷体_GB2312" w:eastAsia="楷体_GB2312" w:cs="楷体_GB2312"/>
          <w:color w:val="auto"/>
          <w:spacing w:val="12"/>
          <w:sz w:val="32"/>
          <w:szCs w:val="32"/>
          <w:lang w:eastAsia="zh-CN"/>
        </w:rPr>
        <w:t>四、绩效评价指标分析</w:t>
      </w:r>
    </w:p>
    <w:p w14:paraId="44E82ED5">
      <w:pPr>
        <w:pStyle w:val="2"/>
        <w:spacing w:before="239" w:line="372" w:lineRule="auto"/>
        <w:ind w:left="639"/>
        <w:rPr>
          <w:rFonts w:hint="eastAsia" w:ascii="楷体_GB2312" w:hAnsi="楷体_GB2312" w:eastAsia="楷体_GB2312" w:cs="楷体_GB2312"/>
          <w:color w:val="auto"/>
          <w:spacing w:val="12"/>
          <w:sz w:val="32"/>
          <w:szCs w:val="32"/>
          <w:highlight w:val="none"/>
          <w:lang w:eastAsia="zh-CN"/>
        </w:rPr>
      </w:pPr>
      <w:r>
        <w:rPr>
          <w:rFonts w:hint="eastAsia" w:ascii="楷体_GB2312" w:hAnsi="楷体_GB2312" w:eastAsia="楷体_GB2312" w:cs="楷体_GB2312"/>
          <w:color w:val="auto"/>
          <w:spacing w:val="12"/>
          <w:sz w:val="32"/>
          <w:szCs w:val="32"/>
          <w:highlight w:val="none"/>
          <w:lang w:eastAsia="zh-CN"/>
        </w:rPr>
        <w:t>（一）项目决策情况</w:t>
      </w:r>
    </w:p>
    <w:p w14:paraId="21ACE353">
      <w:pPr>
        <w:spacing w:line="620" w:lineRule="exact"/>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该项目绩效目标是依据</w:t>
      </w:r>
      <w:r>
        <w:rPr>
          <w:rFonts w:hint="eastAsia" w:ascii="仿宋" w:hAnsi="仿宋" w:eastAsia="仿宋"/>
          <w:color w:val="333333"/>
          <w:kern w:val="0"/>
          <w:sz w:val="32"/>
          <w:szCs w:val="32"/>
          <w:lang w:eastAsia="zh-CN"/>
        </w:rPr>
        <w:t>相关文件、相关职能部门</w:t>
      </w:r>
      <w:r>
        <w:rPr>
          <w:rFonts w:hint="eastAsia" w:ascii="仿宋" w:hAnsi="仿宋" w:eastAsia="仿宋"/>
          <w:color w:val="333333"/>
          <w:kern w:val="0"/>
          <w:sz w:val="32"/>
          <w:szCs w:val="32"/>
        </w:rPr>
        <w:t>工作职责等有关要求设置，绩效目标合理。同时设置了数量、质量、时效、成本、社会效益、经济效益、可持续影响和满意度等指标，绩效指标明确且均量化，与实际工作内容相符合。</w:t>
      </w:r>
    </w:p>
    <w:p w14:paraId="420E9D02">
      <w:pPr>
        <w:pStyle w:val="2"/>
        <w:spacing w:before="239" w:line="372" w:lineRule="auto"/>
        <w:ind w:left="639"/>
        <w:rPr>
          <w:rFonts w:hint="eastAsia" w:ascii="楷体_GB2312" w:hAnsi="楷体_GB2312" w:eastAsia="楷体_GB2312" w:cs="楷体_GB2312"/>
          <w:color w:val="auto"/>
          <w:spacing w:val="12"/>
          <w:sz w:val="32"/>
          <w:szCs w:val="32"/>
          <w:highlight w:val="yellow"/>
          <w:lang w:eastAsia="zh-CN"/>
        </w:rPr>
      </w:pPr>
    </w:p>
    <w:p w14:paraId="43F166F9">
      <w:pPr>
        <w:pStyle w:val="2"/>
        <w:spacing w:before="239" w:line="372" w:lineRule="auto"/>
        <w:ind w:left="639"/>
        <w:rPr>
          <w:rFonts w:hint="eastAsia" w:ascii="楷体_GB2312" w:hAnsi="楷体_GB2312" w:eastAsia="楷体_GB2312" w:cs="楷体_GB2312"/>
          <w:color w:val="auto"/>
          <w:spacing w:val="12"/>
          <w:sz w:val="32"/>
          <w:szCs w:val="32"/>
          <w:lang w:eastAsia="zh-CN"/>
        </w:rPr>
      </w:pPr>
      <w:r>
        <w:rPr>
          <w:rFonts w:hint="eastAsia" w:ascii="楷体_GB2312" w:hAnsi="楷体_GB2312" w:eastAsia="楷体_GB2312" w:cs="楷体_GB2312"/>
          <w:color w:val="auto"/>
          <w:spacing w:val="12"/>
          <w:sz w:val="32"/>
          <w:szCs w:val="32"/>
          <w:lang w:eastAsia="zh-CN"/>
        </w:rPr>
        <w:t>（二）项目过程情况</w:t>
      </w:r>
    </w:p>
    <w:p w14:paraId="11037054">
      <w:pPr>
        <w:pStyle w:val="2"/>
        <w:spacing w:before="237" w:line="372" w:lineRule="auto"/>
        <w:ind w:left="1" w:firstLine="642"/>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val="en-US" w:eastAsia="zh-CN"/>
          <w14:textFill>
            <w14:solidFill>
              <w14:schemeClr w14:val="tx1"/>
            </w14:solidFill>
          </w14:textFill>
        </w:rPr>
        <w:t>1.资金管理</w:t>
      </w:r>
    </w:p>
    <w:p w14:paraId="5AB62EFD">
      <w:pPr>
        <w:pStyle w:val="2"/>
        <w:spacing w:before="237" w:line="372" w:lineRule="auto"/>
        <w:ind w:left="1" w:firstLine="642"/>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val="en-US" w:eastAsia="zh-CN"/>
          <w14:textFill>
            <w14:solidFill>
              <w14:schemeClr w14:val="tx1"/>
            </w14:solidFill>
          </w14:textFill>
        </w:rPr>
        <w:t xml:space="preserve">（1）资金到位率 </w:t>
      </w:r>
    </w:p>
    <w:p w14:paraId="2D498A9F">
      <w:pPr>
        <w:pStyle w:val="2"/>
        <w:spacing w:before="237" w:line="372" w:lineRule="auto"/>
        <w:ind w:left="1" w:firstLine="642"/>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val="en-US" w:eastAsia="zh-CN"/>
          <w14:textFill>
            <w14:solidFill>
              <w14:schemeClr w14:val="tx1"/>
            </w14:solidFill>
          </w14:textFill>
        </w:rPr>
        <w:t xml:space="preserve">专项债资金到位率100%。 </w:t>
      </w:r>
    </w:p>
    <w:p w14:paraId="2C05ED51">
      <w:pPr>
        <w:pStyle w:val="2"/>
        <w:spacing w:before="237" w:line="372" w:lineRule="auto"/>
        <w:ind w:left="1" w:firstLine="642"/>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val="en-US" w:eastAsia="zh-CN"/>
          <w14:textFill>
            <w14:solidFill>
              <w14:schemeClr w14:val="tx1"/>
            </w14:solidFill>
          </w14:textFill>
        </w:rPr>
        <w:t xml:space="preserve">（2）预算执行率 </w:t>
      </w:r>
    </w:p>
    <w:p w14:paraId="250732DC">
      <w:pPr>
        <w:pStyle w:val="2"/>
        <w:spacing w:before="237" w:line="372" w:lineRule="auto"/>
        <w:ind w:left="1" w:firstLine="642"/>
        <w:jc w:val="both"/>
        <w:rPr>
          <w:rFonts w:hint="eastAsia" w:cs="仿宋_GB2312"/>
          <w:snapToGrid/>
          <w:color w:val="000000" w:themeColor="text1"/>
          <w:kern w:val="2"/>
          <w:sz w:val="32"/>
          <w:szCs w:val="32"/>
          <w:highlight w:val="none"/>
          <w:lang w:val="en-US" w:eastAsia="zh-CN"/>
          <w14:textFill>
            <w14:solidFill>
              <w14:schemeClr w14:val="tx1"/>
            </w14:solidFill>
          </w14:textFill>
        </w:rPr>
      </w:pPr>
      <w:r>
        <w:rPr>
          <w:rFonts w:hint="eastAsia" w:cs="仿宋_GB2312"/>
          <w:snapToGrid/>
          <w:color w:val="000000" w:themeColor="text1"/>
          <w:kern w:val="2"/>
          <w:sz w:val="32"/>
          <w:szCs w:val="32"/>
          <w:highlight w:val="none"/>
          <w:lang w:val="en-US" w:eastAsia="zh-CN"/>
          <w14:textFill>
            <w14:solidFill>
              <w14:schemeClr w14:val="tx1"/>
            </w14:solidFill>
          </w14:textFill>
        </w:rPr>
        <w:t xml:space="preserve">预算执行率仅29.81%，执行率过低。 </w:t>
      </w:r>
    </w:p>
    <w:p w14:paraId="2BAF72E1">
      <w:pPr>
        <w:pStyle w:val="2"/>
        <w:spacing w:before="237" w:line="372" w:lineRule="auto"/>
        <w:ind w:left="1" w:firstLine="642"/>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val="en-US" w:eastAsia="zh-CN"/>
          <w14:textFill>
            <w14:solidFill>
              <w14:schemeClr w14:val="tx1"/>
            </w14:solidFill>
          </w14:textFill>
        </w:rPr>
        <w:t xml:space="preserve">（3）资金使用合规性 </w:t>
      </w:r>
    </w:p>
    <w:p w14:paraId="4707BB6F">
      <w:pPr>
        <w:pStyle w:val="2"/>
        <w:spacing w:before="237" w:line="372" w:lineRule="auto"/>
        <w:ind w:left="1" w:firstLine="642"/>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val="en-US" w:eastAsia="zh-CN"/>
          <w14:textFill>
            <w14:solidFill>
              <w14:schemeClr w14:val="tx1"/>
            </w14:solidFill>
          </w14:textFill>
        </w:rPr>
        <w:t xml:space="preserve">制定了符合国家财经法规的《怀化职业技术学院专项债券 </w:t>
      </w:r>
    </w:p>
    <w:p w14:paraId="58D82711">
      <w:pPr>
        <w:pStyle w:val="2"/>
        <w:spacing w:before="237" w:line="372" w:lineRule="auto"/>
        <w:jc w:val="both"/>
        <w:rPr>
          <w:rFonts w:hint="eastAsia" w:cs="仿宋_GB2312"/>
          <w:snapToGrid/>
          <w:color w:val="000000" w:themeColor="text1"/>
          <w:kern w:val="2"/>
          <w:sz w:val="32"/>
          <w:szCs w:val="32"/>
          <w:lang w:val="en-US" w:eastAsia="zh-CN"/>
          <w14:textFill>
            <w14:solidFill>
              <w14:schemeClr w14:val="tx1"/>
            </w14:solidFill>
          </w14:textFill>
        </w:rPr>
      </w:pPr>
      <w:r>
        <w:rPr>
          <w:rFonts w:hint="eastAsia" w:cs="仿宋_GB2312"/>
          <w:snapToGrid/>
          <w:color w:val="000000" w:themeColor="text1"/>
          <w:kern w:val="2"/>
          <w:sz w:val="32"/>
          <w:szCs w:val="32"/>
          <w:lang w:val="en-US" w:eastAsia="zh-CN"/>
          <w14:textFill>
            <w14:solidFill>
              <w14:schemeClr w14:val="tx1"/>
            </w14:solidFill>
          </w14:textFill>
        </w:rPr>
        <w:t>资金使用管理办法》，资金使用基本符合规定的用途，未发现 截留、挤占、挪用、虚列支出等情况。</w:t>
      </w:r>
    </w:p>
    <w:p w14:paraId="4D3815C4">
      <w:pPr>
        <w:pStyle w:val="2"/>
        <w:spacing w:before="237" w:line="372" w:lineRule="auto"/>
        <w:ind w:left="1" w:firstLine="642"/>
        <w:jc w:val="both"/>
        <w:rPr>
          <w:rFonts w:hint="eastAsia" w:cs="仿宋_GB2312"/>
          <w:snapToGrid/>
          <w:color w:val="000000" w:themeColor="text1"/>
          <w:kern w:val="2"/>
          <w:sz w:val="32"/>
          <w:szCs w:val="32"/>
          <w:highlight w:val="none"/>
          <w:lang w:val="en-US" w:eastAsia="zh-CN"/>
          <w14:textFill>
            <w14:solidFill>
              <w14:schemeClr w14:val="tx1"/>
            </w14:solidFill>
          </w14:textFill>
        </w:rPr>
      </w:pPr>
      <w:r>
        <w:rPr>
          <w:rFonts w:hint="eastAsia" w:cs="仿宋_GB2312"/>
          <w:snapToGrid/>
          <w:color w:val="000000" w:themeColor="text1"/>
          <w:kern w:val="2"/>
          <w:sz w:val="32"/>
          <w:szCs w:val="32"/>
          <w:highlight w:val="none"/>
          <w:lang w:val="en-US" w:eastAsia="zh-CN"/>
          <w14:textFill>
            <w14:solidFill>
              <w14:schemeClr w14:val="tx1"/>
            </w14:solidFill>
          </w14:textFill>
        </w:rPr>
        <w:t xml:space="preserve">（4）还本付息 </w:t>
      </w:r>
    </w:p>
    <w:p w14:paraId="01F6921B">
      <w:pPr>
        <w:pStyle w:val="2"/>
        <w:spacing w:before="237" w:line="372" w:lineRule="auto"/>
        <w:ind w:left="1" w:firstLine="642"/>
        <w:jc w:val="both"/>
        <w:rPr>
          <w:rFonts w:hint="eastAsia" w:cs="仿宋_GB2312"/>
          <w:snapToGrid/>
          <w:color w:val="000000" w:themeColor="text1"/>
          <w:kern w:val="2"/>
          <w:sz w:val="32"/>
          <w:szCs w:val="32"/>
          <w:highlight w:val="none"/>
          <w:lang w:val="en-US" w:eastAsia="zh-CN"/>
          <w14:textFill>
            <w14:solidFill>
              <w14:schemeClr w14:val="tx1"/>
            </w14:solidFill>
          </w14:textFill>
        </w:rPr>
      </w:pPr>
      <w:r>
        <w:rPr>
          <w:rFonts w:hint="eastAsia" w:cs="仿宋_GB2312"/>
          <w:snapToGrid/>
          <w:color w:val="000000" w:themeColor="text1"/>
          <w:kern w:val="2"/>
          <w:sz w:val="32"/>
          <w:szCs w:val="32"/>
          <w:highlight w:val="none"/>
          <w:lang w:val="en-US" w:eastAsia="zh-CN"/>
          <w14:textFill>
            <w14:solidFill>
              <w14:schemeClr w14:val="tx1"/>
            </w14:solidFill>
          </w14:textFill>
        </w:rPr>
        <w:t>按财政要求足额及时支付了利息。</w:t>
      </w:r>
    </w:p>
    <w:p w14:paraId="647CB99C">
      <w:pPr>
        <w:pStyle w:val="2"/>
        <w:spacing w:before="237" w:line="372" w:lineRule="auto"/>
        <w:ind w:left="1" w:firstLine="642"/>
        <w:jc w:val="both"/>
        <w:rPr>
          <w:rFonts w:hint="eastAsia" w:cs="仿宋_GB2312"/>
          <w:snapToGrid/>
          <w:color w:val="000000" w:themeColor="text1"/>
          <w:kern w:val="2"/>
          <w:sz w:val="32"/>
          <w:szCs w:val="32"/>
          <w:highlight w:val="none"/>
          <w:lang w:val="en-US" w:eastAsia="zh-CN"/>
          <w14:textFill>
            <w14:solidFill>
              <w14:schemeClr w14:val="tx1"/>
            </w14:solidFill>
          </w14:textFill>
        </w:rPr>
      </w:pPr>
      <w:r>
        <w:rPr>
          <w:rFonts w:hint="eastAsia" w:cs="仿宋_GB2312"/>
          <w:snapToGrid/>
          <w:color w:val="000000" w:themeColor="text1"/>
          <w:kern w:val="2"/>
          <w:sz w:val="32"/>
          <w:szCs w:val="32"/>
          <w:highlight w:val="none"/>
          <w:lang w:val="en-US" w:eastAsia="zh-CN"/>
          <w14:textFill>
            <w14:solidFill>
              <w14:schemeClr w14:val="tx1"/>
            </w14:solidFill>
          </w14:textFill>
        </w:rPr>
        <w:t>2.项目实施</w:t>
      </w:r>
    </w:p>
    <w:p w14:paraId="134E8847">
      <w:pPr>
        <w:pStyle w:val="2"/>
        <w:spacing w:before="241" w:line="227" w:lineRule="auto"/>
        <w:ind w:left="642"/>
      </w:pPr>
      <w:r>
        <w:rPr>
          <w:spacing w:val="6"/>
        </w:rPr>
        <w:t>（1）管理制度建设</w:t>
      </w:r>
    </w:p>
    <w:p w14:paraId="4AC94306">
      <w:pPr>
        <w:pStyle w:val="2"/>
        <w:spacing w:before="242" w:line="624" w:lineRule="exact"/>
        <w:ind w:right="78"/>
        <w:jc w:val="right"/>
      </w:pPr>
      <w:r>
        <w:rPr>
          <w:spacing w:val="13"/>
          <w:position w:val="23"/>
        </w:rPr>
        <w:t>建立了项目建设、运营、资产管理等环节的管理制度，基</w:t>
      </w:r>
    </w:p>
    <w:p w14:paraId="717FD240">
      <w:pPr>
        <w:pStyle w:val="2"/>
        <w:spacing w:before="1" w:line="227" w:lineRule="auto"/>
        <w:ind w:left="1"/>
      </w:pPr>
      <w:r>
        <w:rPr>
          <w:spacing w:val="6"/>
        </w:rPr>
        <w:t>本合规完整。</w:t>
      </w:r>
    </w:p>
    <w:p w14:paraId="0BC3BDFA">
      <w:pPr>
        <w:pStyle w:val="2"/>
        <w:spacing w:before="242" w:line="227" w:lineRule="auto"/>
        <w:ind w:left="642"/>
      </w:pPr>
      <w:r>
        <w:rPr>
          <w:spacing w:val="6"/>
        </w:rPr>
        <w:t>（2）项目质量控制</w:t>
      </w:r>
    </w:p>
    <w:p w14:paraId="29572C4C">
      <w:pPr>
        <w:pStyle w:val="2"/>
        <w:spacing w:before="241" w:line="372" w:lineRule="auto"/>
        <w:ind w:left="1" w:firstLine="639"/>
      </w:pPr>
      <w:r>
        <w:rPr>
          <w:spacing w:val="12"/>
        </w:rPr>
        <w:t>编制了合理的实施计划，制定了项目质量标准及验收质量</w:t>
      </w:r>
      <w:r>
        <w:rPr>
          <w:spacing w:val="13"/>
        </w:rPr>
        <w:t xml:space="preserve"> </w:t>
      </w:r>
      <w:r>
        <w:rPr>
          <w:spacing w:val="12"/>
        </w:rPr>
        <w:t>控制措施。项目调整手续完备。项目事中监控措施不到位，未</w:t>
      </w:r>
      <w:r>
        <w:rPr>
          <w:spacing w:val="11"/>
        </w:rPr>
        <w:t xml:space="preserve"> </w:t>
      </w:r>
      <w:r>
        <w:rPr>
          <w:spacing w:val="4"/>
        </w:rPr>
        <w:t>能及时查找资金使用和项目实施中的薄弱环节，及时纠正偏差</w:t>
      </w:r>
      <w:r>
        <w:rPr>
          <w:spacing w:val="-8"/>
        </w:rPr>
        <w:t>。</w:t>
      </w:r>
    </w:p>
    <w:p w14:paraId="29FA5E7A">
      <w:pPr>
        <w:pStyle w:val="2"/>
        <w:spacing w:before="239" w:line="228" w:lineRule="auto"/>
        <w:ind w:left="642"/>
      </w:pPr>
      <w:r>
        <w:rPr>
          <w:spacing w:val="7"/>
        </w:rPr>
        <w:t>（3）招标及政府采购管理</w:t>
      </w:r>
    </w:p>
    <w:p w14:paraId="2CD0A1A6">
      <w:pPr>
        <w:pStyle w:val="2"/>
        <w:spacing w:before="240" w:line="372" w:lineRule="auto"/>
        <w:ind w:left="2" w:right="90" w:firstLine="637"/>
      </w:pPr>
      <w:r>
        <w:rPr>
          <w:spacing w:val="12"/>
        </w:rPr>
        <w:t>项目招标和政府采购的程序及手续基本合规，工程、设备</w:t>
      </w:r>
      <w:r>
        <w:rPr>
          <w:spacing w:val="14"/>
        </w:rPr>
        <w:t xml:space="preserve"> </w:t>
      </w:r>
      <w:r>
        <w:rPr>
          <w:spacing w:val="12"/>
        </w:rPr>
        <w:t>采购与实际需求基本吻合，但合同执行存在未严格按进度付款</w:t>
      </w:r>
    </w:p>
    <w:p w14:paraId="6DB994B7">
      <w:pPr>
        <w:pStyle w:val="2"/>
        <w:spacing w:before="1" w:line="227" w:lineRule="auto"/>
        <w:ind w:left="7"/>
      </w:pPr>
      <w:r>
        <w:rPr>
          <w:spacing w:val="-3"/>
        </w:rPr>
        <w:t>情况。</w:t>
      </w:r>
    </w:p>
    <w:p w14:paraId="758ADD77">
      <w:pPr>
        <w:pStyle w:val="2"/>
        <w:spacing w:before="242" w:line="229" w:lineRule="auto"/>
        <w:ind w:left="642"/>
      </w:pPr>
      <w:r>
        <w:rPr>
          <w:spacing w:val="5"/>
        </w:rPr>
        <w:t>（4）资产管理</w:t>
      </w:r>
    </w:p>
    <w:p w14:paraId="04C280FB">
      <w:pPr>
        <w:pStyle w:val="2"/>
        <w:spacing w:before="239" w:line="228" w:lineRule="auto"/>
        <w:ind w:left="640"/>
        <w:rPr>
          <w:rFonts w:hint="eastAsia"/>
          <w:color w:val="auto"/>
          <w:szCs w:val="32"/>
          <w:lang w:eastAsia="zh-CN"/>
        </w:rPr>
      </w:pPr>
      <w:r>
        <w:rPr>
          <w:spacing w:val="7"/>
        </w:rPr>
        <w:t>资产管理</w:t>
      </w:r>
      <w:r>
        <w:rPr>
          <w:rFonts w:hint="eastAsia"/>
          <w:spacing w:val="7"/>
          <w:lang w:eastAsia="zh-CN"/>
        </w:rPr>
        <w:t>正常</w:t>
      </w:r>
      <w:r>
        <w:rPr>
          <w:spacing w:val="7"/>
        </w:rPr>
        <w:t>。</w:t>
      </w:r>
    </w:p>
    <w:p w14:paraId="0516847B">
      <w:pPr>
        <w:pStyle w:val="2"/>
        <w:spacing w:before="239" w:line="372" w:lineRule="auto"/>
        <w:ind w:left="639"/>
        <w:rPr>
          <w:rFonts w:hint="eastAsia" w:ascii="楷体_GB2312" w:hAnsi="楷体_GB2312" w:eastAsia="楷体_GB2312" w:cs="楷体_GB2312"/>
          <w:color w:val="auto"/>
          <w:spacing w:val="12"/>
          <w:sz w:val="32"/>
          <w:szCs w:val="32"/>
          <w:lang w:eastAsia="zh-CN"/>
        </w:rPr>
      </w:pPr>
      <w:r>
        <w:rPr>
          <w:rFonts w:hint="eastAsia" w:ascii="楷体_GB2312" w:hAnsi="楷体_GB2312" w:eastAsia="楷体_GB2312" w:cs="楷体_GB2312"/>
          <w:color w:val="auto"/>
          <w:spacing w:val="12"/>
          <w:sz w:val="32"/>
          <w:szCs w:val="32"/>
          <w:lang w:eastAsia="zh-CN"/>
        </w:rPr>
        <w:t>（三）项目产出情况</w:t>
      </w:r>
    </w:p>
    <w:p w14:paraId="16BCB630">
      <w:pPr>
        <w:pStyle w:val="2"/>
        <w:spacing w:before="239" w:line="372" w:lineRule="auto"/>
        <w:ind w:firstLine="620" w:firstLineChars="200"/>
        <w:rPr>
          <w:rFonts w:hint="eastAsia"/>
          <w:color w:val="auto"/>
          <w:szCs w:val="32"/>
          <w:lang w:eastAsia="zh-CN"/>
        </w:rPr>
      </w:pPr>
      <w:r>
        <w:rPr>
          <w:rFonts w:hint="eastAsia"/>
          <w:color w:val="auto"/>
          <w:szCs w:val="32"/>
          <w:lang w:eastAsia="zh-CN"/>
        </w:rPr>
        <w:t>1.产出数量</w:t>
      </w:r>
    </w:p>
    <w:p w14:paraId="521C6CC0">
      <w:pPr>
        <w:spacing w:line="620" w:lineRule="exact"/>
        <w:ind w:firstLine="640" w:firstLineChars="200"/>
        <w:rPr>
          <w:rFonts w:hint="eastAsia" w:ascii="仿宋" w:hAnsi="仿宋" w:eastAsia="仿宋" w:cs="Times New Roman"/>
          <w:snapToGrid/>
          <w:color w:val="333333"/>
          <w:sz w:val="32"/>
          <w:szCs w:val="32"/>
          <w:lang w:val="en-US" w:eastAsia="zh-CN" w:bidi="ar-SA"/>
        </w:rPr>
      </w:pPr>
      <w:r>
        <w:rPr>
          <w:rFonts w:hint="eastAsia" w:ascii="仿宋" w:hAnsi="仿宋" w:eastAsia="仿宋" w:cs="Times New Roman"/>
          <w:snapToGrid/>
          <w:color w:val="333333"/>
          <w:sz w:val="32"/>
          <w:szCs w:val="32"/>
          <w:lang w:val="en-US" w:eastAsia="zh-CN" w:bidi="ar-SA"/>
        </w:rPr>
        <w:t>满足入住学生数3000人，满足就餐人数4000人。</w:t>
      </w:r>
    </w:p>
    <w:p w14:paraId="63106AC1">
      <w:pPr>
        <w:pStyle w:val="2"/>
        <w:spacing w:before="239" w:line="372" w:lineRule="auto"/>
        <w:ind w:firstLine="620" w:firstLineChars="200"/>
        <w:rPr>
          <w:rFonts w:hint="eastAsia"/>
          <w:color w:val="auto"/>
          <w:szCs w:val="32"/>
          <w:lang w:eastAsia="zh-CN"/>
        </w:rPr>
      </w:pPr>
      <w:r>
        <w:rPr>
          <w:rFonts w:hint="eastAsia"/>
          <w:color w:val="auto"/>
          <w:szCs w:val="32"/>
          <w:lang w:eastAsia="zh-CN"/>
        </w:rPr>
        <w:t>2.产出质量</w:t>
      </w:r>
    </w:p>
    <w:p w14:paraId="5CBA4630">
      <w:pPr>
        <w:pStyle w:val="2"/>
        <w:spacing w:before="239" w:line="372" w:lineRule="auto"/>
        <w:ind w:left="2" w:firstLine="637"/>
        <w:rPr>
          <w:rFonts w:hint="eastAsia" w:ascii="仿宋" w:hAnsi="仿宋" w:eastAsia="仿宋" w:cs="Times New Roman"/>
          <w:snapToGrid/>
          <w:color w:val="333333"/>
          <w:sz w:val="32"/>
          <w:szCs w:val="32"/>
          <w:lang w:val="en-US" w:eastAsia="zh-CN" w:bidi="ar-SA"/>
        </w:rPr>
      </w:pPr>
      <w:r>
        <w:rPr>
          <w:rFonts w:hint="eastAsia" w:ascii="仿宋" w:hAnsi="仿宋" w:eastAsia="仿宋" w:cs="Times New Roman"/>
          <w:snapToGrid/>
          <w:color w:val="333333"/>
          <w:sz w:val="32"/>
          <w:szCs w:val="32"/>
          <w:lang w:val="en-US" w:eastAsia="zh-CN" w:bidi="ar-SA"/>
        </w:rPr>
        <w:t>完成3栋学生宿舍、1栋食堂、1栋综合实训楼、1栋创新创业大楼、1栋后勤附属用房，并达到验收合格。</w:t>
      </w:r>
    </w:p>
    <w:p w14:paraId="7A7B0CB0">
      <w:pPr>
        <w:pStyle w:val="2"/>
        <w:spacing w:before="239" w:line="372" w:lineRule="auto"/>
        <w:ind w:firstLine="620" w:firstLineChars="200"/>
        <w:rPr>
          <w:rFonts w:hint="eastAsia"/>
          <w:color w:val="auto"/>
          <w:szCs w:val="32"/>
          <w:lang w:eastAsia="zh-CN"/>
        </w:rPr>
      </w:pPr>
      <w:r>
        <w:rPr>
          <w:rFonts w:hint="eastAsia"/>
          <w:color w:val="auto"/>
          <w:szCs w:val="32"/>
          <w:lang w:eastAsia="zh-CN"/>
        </w:rPr>
        <w:t>3.产出成本</w:t>
      </w:r>
    </w:p>
    <w:p w14:paraId="42FAA0BD">
      <w:pPr>
        <w:pStyle w:val="2"/>
        <w:spacing w:before="239" w:line="372" w:lineRule="auto"/>
        <w:ind w:left="2" w:firstLine="637"/>
        <w:rPr>
          <w:rFonts w:hint="eastAsia" w:ascii="仿宋" w:hAnsi="仿宋" w:eastAsia="仿宋" w:cs="Times New Roman"/>
          <w:snapToGrid/>
          <w:color w:val="333333"/>
          <w:sz w:val="32"/>
          <w:szCs w:val="32"/>
          <w:lang w:val="en-US" w:eastAsia="zh-CN" w:bidi="ar-SA"/>
        </w:rPr>
      </w:pPr>
      <w:r>
        <w:rPr>
          <w:rFonts w:hint="eastAsia" w:ascii="仿宋" w:hAnsi="仿宋" w:eastAsia="仿宋" w:cs="Times New Roman"/>
          <w:snapToGrid/>
          <w:color w:val="333333"/>
          <w:sz w:val="32"/>
          <w:szCs w:val="32"/>
          <w:lang w:val="en-US" w:eastAsia="zh-CN" w:bidi="ar-SA"/>
        </w:rPr>
        <w:t>在项目计划安排支出内执行。</w:t>
      </w:r>
    </w:p>
    <w:p w14:paraId="1BFE22D1">
      <w:pPr>
        <w:pStyle w:val="2"/>
        <w:spacing w:before="239" w:line="372" w:lineRule="auto"/>
        <w:ind w:firstLine="620" w:firstLineChars="200"/>
        <w:rPr>
          <w:color w:val="auto"/>
          <w:szCs w:val="32"/>
          <w:lang w:eastAsia="zh-CN"/>
        </w:rPr>
      </w:pPr>
      <w:r>
        <w:rPr>
          <w:rFonts w:hint="eastAsia"/>
          <w:color w:val="auto"/>
          <w:szCs w:val="32"/>
          <w:lang w:eastAsia="zh-CN"/>
        </w:rPr>
        <w:t>4.产出时效</w:t>
      </w:r>
    </w:p>
    <w:p w14:paraId="1982CA8B">
      <w:pPr>
        <w:spacing w:line="620" w:lineRule="exact"/>
        <w:ind w:firstLine="640" w:firstLineChars="200"/>
        <w:rPr>
          <w:rFonts w:hint="eastAsia"/>
          <w:color w:val="auto"/>
          <w:szCs w:val="32"/>
          <w:lang w:eastAsia="zh-CN"/>
        </w:rPr>
      </w:pPr>
      <w:r>
        <w:rPr>
          <w:rFonts w:hint="eastAsia" w:ascii="仿宋" w:hAnsi="仿宋" w:eastAsia="仿宋" w:cs="仿宋"/>
          <w:sz w:val="32"/>
          <w:szCs w:val="32"/>
          <w:lang w:eastAsia="zh-CN"/>
        </w:rPr>
        <w:t>2023年12月底之前完成。</w:t>
      </w:r>
    </w:p>
    <w:p w14:paraId="05D137DB">
      <w:pPr>
        <w:pStyle w:val="2"/>
        <w:spacing w:before="239" w:line="372" w:lineRule="auto"/>
        <w:ind w:firstLine="622" w:firstLineChars="200"/>
        <w:rPr>
          <w:rFonts w:hint="eastAsia" w:ascii="宋体" w:hAnsi="宋体" w:eastAsia="宋体" w:cs="宋体"/>
        </w:rPr>
      </w:pPr>
      <w:r>
        <w:rPr>
          <w:rFonts w:hint="eastAsia"/>
          <w:b/>
          <w:bCs/>
          <w:color w:val="auto"/>
          <w:szCs w:val="32"/>
          <w:lang w:eastAsia="zh-CN"/>
        </w:rPr>
        <w:t>（四）项目效益情况</w:t>
      </w:r>
    </w:p>
    <w:p w14:paraId="13453B3E">
      <w:pPr>
        <w:pStyle w:val="12"/>
        <w:ind w:firstLine="640"/>
        <w:rPr>
          <w:rFonts w:ascii="宋体" w:hAnsi="宋体" w:eastAsia="宋体" w:cs="宋体"/>
        </w:rPr>
      </w:pPr>
      <w:r>
        <w:rPr>
          <w:rFonts w:hint="eastAsia" w:ascii="宋体" w:hAnsi="宋体" w:eastAsia="宋体" w:cs="宋体"/>
          <w:lang w:val="en-US" w:eastAsia="zh-CN"/>
        </w:rPr>
        <w:t>1</w:t>
      </w:r>
      <w:r>
        <w:rPr>
          <w:rFonts w:hint="eastAsia" w:ascii="宋体" w:hAnsi="宋体" w:eastAsia="宋体" w:cs="宋体"/>
        </w:rPr>
        <w:t>．社会效益</w:t>
      </w:r>
    </w:p>
    <w:p w14:paraId="3CD12F39">
      <w:pPr>
        <w:pStyle w:val="2"/>
        <w:spacing w:before="239" w:line="372" w:lineRule="auto"/>
        <w:ind w:left="2" w:firstLine="637"/>
        <w:rPr>
          <w:rFonts w:hint="eastAsia" w:ascii="仿宋" w:hAnsi="仿宋" w:eastAsia="仿宋" w:cs="Times New Roman"/>
          <w:snapToGrid/>
          <w:color w:val="333333"/>
          <w:sz w:val="32"/>
          <w:szCs w:val="32"/>
          <w:lang w:val="en-US" w:eastAsia="zh-CN" w:bidi="ar-SA"/>
        </w:rPr>
      </w:pPr>
      <w:r>
        <w:rPr>
          <w:rFonts w:hint="eastAsia" w:ascii="仿宋" w:hAnsi="仿宋" w:eastAsia="仿宋" w:cs="Times New Roman"/>
          <w:snapToGrid/>
          <w:color w:val="333333"/>
          <w:sz w:val="32"/>
          <w:szCs w:val="32"/>
          <w:lang w:val="en-US" w:eastAsia="zh-CN" w:bidi="ar-SA"/>
        </w:rPr>
        <w:t>三栋学生宿舍投入使用，并入住学生3024人；一栋新食堂投入使用，能同时满足4000多人就餐，显著提升了学校办学条件，社会效益明显。</w:t>
      </w:r>
    </w:p>
    <w:p w14:paraId="7C34C1CD">
      <w:pPr>
        <w:tabs>
          <w:tab w:val="left" w:pos="4973"/>
        </w:tabs>
        <w:ind w:firstLine="640" w:firstLineChars="200"/>
        <w:rPr>
          <w:rFonts w:hint="eastAsia" w:ascii="宋体" w:hAnsi="宋体" w:cs="宋体"/>
          <w:sz w:val="32"/>
          <w:lang w:eastAsia="zh-CN"/>
        </w:rPr>
      </w:pPr>
      <w:r>
        <w:rPr>
          <w:rFonts w:hint="eastAsia" w:ascii="宋体" w:hAnsi="宋体" w:cs="宋体"/>
          <w:sz w:val="32"/>
          <w:lang w:val="en-US" w:eastAsia="zh-CN"/>
        </w:rPr>
        <w:t>2</w:t>
      </w:r>
      <w:r>
        <w:rPr>
          <w:rFonts w:hint="eastAsia" w:ascii="宋体" w:hAnsi="宋体" w:cs="宋体"/>
          <w:sz w:val="32"/>
          <w:lang w:eastAsia="zh-CN"/>
        </w:rPr>
        <w:t>.生态效益</w:t>
      </w:r>
    </w:p>
    <w:p w14:paraId="0EFBD754">
      <w:pPr>
        <w:pStyle w:val="2"/>
        <w:spacing w:before="239" w:line="372" w:lineRule="auto"/>
        <w:ind w:left="2" w:firstLine="637"/>
        <w:rPr>
          <w:rFonts w:hint="eastAsia"/>
          <w:sz w:val="32"/>
          <w:szCs w:val="32"/>
          <w:lang w:eastAsia="zh-CN"/>
        </w:rPr>
      </w:pPr>
      <w:r>
        <w:rPr>
          <w:rFonts w:hint="eastAsia" w:ascii="仿宋" w:hAnsi="仿宋" w:eastAsia="仿宋" w:cs="Times New Roman"/>
          <w:snapToGrid/>
          <w:color w:val="333333"/>
          <w:sz w:val="32"/>
          <w:szCs w:val="32"/>
          <w:lang w:val="en-US" w:eastAsia="zh-CN" w:bidi="ar-SA"/>
        </w:rPr>
        <w:t>可增加绿化面积16285平方米</w:t>
      </w:r>
      <w:r>
        <w:rPr>
          <w:rFonts w:hint="eastAsia" w:cs="Times New Roman"/>
          <w:snapToGrid/>
          <w:color w:val="333333"/>
          <w:sz w:val="32"/>
          <w:szCs w:val="32"/>
          <w:lang w:val="en-US" w:eastAsia="zh-CN" w:bidi="ar-SA"/>
        </w:rPr>
        <w:t>，</w:t>
      </w:r>
      <w:r>
        <w:rPr>
          <w:rFonts w:hint="eastAsia" w:ascii="仿宋" w:hAnsi="仿宋" w:eastAsia="仿宋" w:cs="Times New Roman"/>
          <w:snapToGrid/>
          <w:color w:val="333333"/>
          <w:sz w:val="32"/>
          <w:szCs w:val="32"/>
          <w:lang w:val="en-US" w:eastAsia="zh-CN" w:bidi="ar-SA"/>
        </w:rPr>
        <w:t>2023年底增加</w:t>
      </w:r>
      <w:r>
        <w:rPr>
          <w:rFonts w:hint="eastAsia" w:cs="Times New Roman"/>
          <w:snapToGrid/>
          <w:color w:val="333333"/>
          <w:sz w:val="32"/>
          <w:szCs w:val="32"/>
          <w:lang w:val="en-US" w:eastAsia="zh-CN" w:bidi="ar-SA"/>
        </w:rPr>
        <w:t>16285平方</w:t>
      </w:r>
      <w:r>
        <w:rPr>
          <w:rFonts w:hint="eastAsia" w:ascii="仿宋" w:hAnsi="仿宋" w:eastAsia="仿宋" w:cs="Times New Roman"/>
          <w:snapToGrid/>
          <w:color w:val="333333"/>
          <w:sz w:val="32"/>
          <w:szCs w:val="32"/>
          <w:lang w:val="en-US" w:eastAsia="zh-CN" w:bidi="ar-SA"/>
        </w:rPr>
        <w:t>绿化面积</w:t>
      </w:r>
      <w:r>
        <w:rPr>
          <w:rFonts w:hint="eastAsia" w:cs="Times New Roman"/>
          <w:snapToGrid/>
          <w:color w:val="333333"/>
          <w:sz w:val="32"/>
          <w:szCs w:val="32"/>
          <w:lang w:val="en-US" w:eastAsia="zh-CN" w:bidi="ar-SA"/>
        </w:rPr>
        <w:t>，</w:t>
      </w:r>
      <w:r>
        <w:rPr>
          <w:rFonts w:hint="eastAsia" w:ascii="仿宋" w:hAnsi="仿宋" w:eastAsia="仿宋" w:cs="Times New Roman"/>
          <w:snapToGrid/>
          <w:color w:val="333333"/>
          <w:sz w:val="32"/>
          <w:szCs w:val="32"/>
          <w:lang w:val="en-US" w:eastAsia="zh-CN" w:bidi="ar-SA"/>
        </w:rPr>
        <w:t>新增了排水系统，消防体系进一步完善，能更好地美化环境，净化空气，生态效益明显。</w:t>
      </w:r>
      <w:r>
        <w:rPr>
          <w:sz w:val="32"/>
          <w:szCs w:val="32"/>
          <w:lang w:eastAsia="zh-CN"/>
        </w:rPr>
        <w:tab/>
      </w:r>
    </w:p>
    <w:p w14:paraId="6E805CBF">
      <w:pPr>
        <w:pStyle w:val="12"/>
        <w:ind w:firstLine="640"/>
        <w:rPr>
          <w:rFonts w:ascii="宋体" w:hAnsi="宋体" w:eastAsia="宋体" w:cs="宋体"/>
        </w:rPr>
      </w:pPr>
      <w:r>
        <w:rPr>
          <w:rFonts w:hint="eastAsia" w:ascii="宋体" w:hAnsi="宋体" w:eastAsia="宋体" w:cs="宋体"/>
          <w:lang w:val="en-US" w:eastAsia="zh-CN"/>
        </w:rPr>
        <w:t>3</w:t>
      </w:r>
      <w:r>
        <w:rPr>
          <w:rFonts w:hint="eastAsia" w:ascii="宋体" w:hAnsi="宋体" w:eastAsia="宋体" w:cs="宋体"/>
        </w:rPr>
        <w:t>.可持续影响</w:t>
      </w:r>
    </w:p>
    <w:p w14:paraId="03044A72">
      <w:pPr>
        <w:pStyle w:val="2"/>
        <w:spacing w:before="239" w:line="372" w:lineRule="auto"/>
        <w:ind w:left="639"/>
        <w:rPr>
          <w:rFonts w:hint="eastAsia" w:ascii="仿宋" w:hAnsi="仿宋" w:eastAsia="仿宋" w:cs="Times New Roman"/>
          <w:snapToGrid/>
          <w:color w:val="333333"/>
          <w:sz w:val="32"/>
          <w:szCs w:val="32"/>
          <w:lang w:val="en-US" w:eastAsia="zh-CN" w:bidi="ar-SA"/>
        </w:rPr>
      </w:pPr>
      <w:r>
        <w:rPr>
          <w:rFonts w:hint="eastAsia" w:ascii="仿宋" w:hAnsi="仿宋" w:eastAsia="仿宋" w:cs="Times New Roman"/>
          <w:snapToGrid/>
          <w:color w:val="333333"/>
          <w:sz w:val="32"/>
          <w:szCs w:val="32"/>
          <w:lang w:val="en-US" w:eastAsia="zh-CN" w:bidi="ar-SA"/>
        </w:rPr>
        <w:t>改善办学条件，校园更加优美。</w:t>
      </w:r>
    </w:p>
    <w:p w14:paraId="5073DE54">
      <w:pPr>
        <w:pStyle w:val="12"/>
        <w:ind w:firstLine="640"/>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.满意度情况</w:t>
      </w:r>
    </w:p>
    <w:p w14:paraId="1661FB60">
      <w:pPr>
        <w:pStyle w:val="2"/>
        <w:spacing w:before="239" w:line="360" w:lineRule="auto"/>
        <w:ind w:firstLine="640" w:firstLineChars="200"/>
        <w:rPr>
          <w:rFonts w:hint="eastAsia" w:ascii="仿宋" w:hAnsi="仿宋" w:eastAsia="仿宋" w:cs="Times New Roman"/>
          <w:snapToGrid/>
          <w:color w:val="333333"/>
          <w:sz w:val="32"/>
          <w:szCs w:val="32"/>
          <w:lang w:val="en-US" w:eastAsia="zh-CN" w:bidi="ar-SA"/>
        </w:rPr>
      </w:pPr>
      <w:r>
        <w:rPr>
          <w:rFonts w:hint="eastAsia" w:ascii="仿宋" w:hAnsi="仿宋" w:eastAsia="仿宋" w:cs="Times New Roman"/>
          <w:snapToGrid/>
          <w:color w:val="333333"/>
          <w:sz w:val="32"/>
          <w:szCs w:val="32"/>
          <w:lang w:val="en-US" w:eastAsia="zh-CN" w:bidi="ar-SA"/>
        </w:rPr>
        <w:t>师生满意度为85%，低于预期90%，需要加快项目建设，以满足师生教学需求，提升满意度指标。</w:t>
      </w:r>
    </w:p>
    <w:p w14:paraId="7A58E491">
      <w:pPr>
        <w:spacing w:before="243" w:line="227" w:lineRule="auto"/>
        <w:ind w:left="646"/>
        <w:outlineLvl w:val="0"/>
        <w:rPr>
          <w:rFonts w:hint="eastAsia" w:ascii="黑体" w:hAnsi="黑体" w:eastAsia="黑体" w:cs="黑体"/>
          <w:sz w:val="32"/>
          <w:szCs w:val="32"/>
          <w:lang w:eastAsia="zh-CN"/>
        </w:rPr>
      </w:pPr>
      <w:bookmarkStart w:id="26" w:name="bookmark67"/>
      <w:bookmarkEnd w:id="26"/>
      <w:bookmarkStart w:id="27" w:name="bookmark68"/>
      <w:bookmarkEnd w:id="27"/>
      <w:r>
        <w:rPr>
          <w:rFonts w:hint="eastAsia" w:ascii="黑体" w:hAnsi="黑体" w:eastAsia="黑体" w:cs="黑体"/>
          <w:spacing w:val="9"/>
          <w:sz w:val="32"/>
          <w:szCs w:val="32"/>
          <w:lang w:eastAsia="zh-CN"/>
          <w14:textOutline w14:w="5791" w14:cap="sq" w14:cmpd="sng" w14:algn="ctr">
            <w14:solidFill>
              <w14:srgbClr w14:val="000000"/>
            </w14:solidFill>
            <w14:prstDash w14:val="solid"/>
            <w14:bevel/>
          </w14:textOutline>
        </w:rPr>
        <w:t>五、项目主要经验、存在问题及建议</w:t>
      </w:r>
    </w:p>
    <w:p w14:paraId="3F4579AD">
      <w:pPr>
        <w:pStyle w:val="2"/>
        <w:spacing w:before="239" w:line="372" w:lineRule="auto"/>
        <w:ind w:left="639"/>
        <w:rPr>
          <w:rFonts w:hint="eastAsia" w:ascii="楷体_GB2312" w:hAnsi="楷体_GB2312" w:eastAsia="楷体_GB2312" w:cs="楷体_GB2312"/>
          <w:color w:val="auto"/>
          <w:spacing w:val="12"/>
          <w:sz w:val="32"/>
          <w:szCs w:val="32"/>
          <w:lang w:eastAsia="zh-CN"/>
        </w:rPr>
      </w:pPr>
      <w:bookmarkStart w:id="28" w:name="bookmark69"/>
      <w:bookmarkEnd w:id="28"/>
      <w:bookmarkStart w:id="29" w:name="bookmark72"/>
      <w:bookmarkEnd w:id="29"/>
      <w:bookmarkStart w:id="30" w:name="bookmark70"/>
      <w:bookmarkEnd w:id="30"/>
      <w:r>
        <w:rPr>
          <w:rFonts w:hint="eastAsia" w:ascii="楷体_GB2312" w:hAnsi="楷体_GB2312" w:eastAsia="楷体_GB2312" w:cs="楷体_GB2312"/>
          <w:color w:val="auto"/>
          <w:spacing w:val="12"/>
          <w:sz w:val="32"/>
          <w:szCs w:val="32"/>
          <w:lang w:eastAsia="zh-CN"/>
        </w:rPr>
        <w:t>（一）项目主要经验及做法</w:t>
      </w:r>
    </w:p>
    <w:p w14:paraId="6759BB16">
      <w:pPr>
        <w:widowControl w:val="0"/>
        <w:kinsoku/>
        <w:autoSpaceDE/>
        <w:autoSpaceDN/>
        <w:adjustRightInd/>
        <w:snapToGrid/>
        <w:spacing w:line="570" w:lineRule="exact"/>
        <w:ind w:firstLine="640" w:firstLineChars="200"/>
        <w:rPr>
          <w:rFonts w:hint="eastAsia" w:ascii="仿宋" w:hAnsi="仿宋" w:eastAsia="仿宋" w:cs="Times New Roman"/>
          <w:snapToGrid/>
          <w:color w:val="333333"/>
          <w:sz w:val="32"/>
          <w:szCs w:val="32"/>
          <w:lang w:eastAsia="zh-CN"/>
        </w:rPr>
      </w:pPr>
      <w:r>
        <w:rPr>
          <w:rFonts w:hint="eastAsia" w:ascii="仿宋" w:hAnsi="仿宋" w:eastAsia="仿宋" w:cs="Times New Roman"/>
          <w:snapToGrid/>
          <w:color w:val="333333"/>
          <w:sz w:val="32"/>
          <w:szCs w:val="32"/>
          <w:lang w:eastAsia="zh-CN"/>
        </w:rPr>
        <w:t>1.高度重视，加强领导。学校党政主要负责人多次召开专题会议认真研究，深入分析问题原因，提出整改措施和时限要求，压实各方责任。</w:t>
      </w:r>
    </w:p>
    <w:p w14:paraId="786B21A4">
      <w:pPr>
        <w:widowControl w:val="0"/>
        <w:kinsoku/>
        <w:autoSpaceDE/>
        <w:autoSpaceDN/>
        <w:adjustRightInd/>
        <w:snapToGrid/>
        <w:spacing w:line="570" w:lineRule="exact"/>
        <w:ind w:firstLine="640" w:firstLineChars="200"/>
        <w:rPr>
          <w:rFonts w:hint="eastAsia" w:ascii="仿宋" w:hAnsi="仿宋" w:eastAsia="仿宋" w:cs="Times New Roman"/>
          <w:snapToGrid/>
          <w:color w:val="333333"/>
          <w:sz w:val="32"/>
          <w:szCs w:val="32"/>
          <w:lang w:eastAsia="zh-CN"/>
        </w:rPr>
      </w:pPr>
      <w:r>
        <w:rPr>
          <w:rFonts w:hint="eastAsia" w:ascii="仿宋" w:hAnsi="仿宋" w:eastAsia="仿宋" w:cs="Times New Roman"/>
          <w:snapToGrid/>
          <w:color w:val="333333"/>
          <w:sz w:val="32"/>
          <w:szCs w:val="32"/>
          <w:lang w:eastAsia="zh-CN"/>
        </w:rPr>
        <w:t>2.积极与施工单位进行沟通，催促复工复产，加快施工进度。针对停工，我校先后9次向沙坪公司发函要求复工，主要领导3次带队赴长沙沙坪公司总部对接工作。</w:t>
      </w:r>
    </w:p>
    <w:p w14:paraId="40F68AF0">
      <w:pPr>
        <w:widowControl w:val="0"/>
        <w:kinsoku/>
        <w:autoSpaceDE/>
        <w:autoSpaceDN/>
        <w:adjustRightInd/>
        <w:snapToGrid/>
        <w:spacing w:line="570" w:lineRule="exact"/>
        <w:ind w:firstLine="640" w:firstLineChars="200"/>
        <w:rPr>
          <w:rFonts w:hint="eastAsia" w:ascii="仿宋" w:hAnsi="仿宋" w:eastAsia="仿宋" w:cs="Times New Roman"/>
          <w:snapToGrid/>
          <w:color w:val="333333"/>
          <w:sz w:val="32"/>
          <w:szCs w:val="32"/>
          <w:lang w:eastAsia="zh-CN"/>
        </w:rPr>
      </w:pPr>
      <w:r>
        <w:rPr>
          <w:rFonts w:hint="eastAsia" w:ascii="仿宋" w:hAnsi="仿宋" w:eastAsia="仿宋" w:cs="Times New Roman"/>
          <w:snapToGrid/>
          <w:color w:val="333333"/>
          <w:sz w:val="32"/>
          <w:szCs w:val="32"/>
          <w:lang w:eastAsia="zh-CN"/>
        </w:rPr>
        <w:t>3.请求市委市政府及相关部门协调。为加快工期进度，在与沙坪公司沟通无明显进展的情况下，我校多次向市委市政府及政府相关部门汇报情况，请求协调，2023年6月26日原副市长向秀亮专题召开调度会，协调解决相关问题。</w:t>
      </w:r>
    </w:p>
    <w:p w14:paraId="4D3CE47D">
      <w:pPr>
        <w:pStyle w:val="2"/>
        <w:spacing w:before="239" w:line="372" w:lineRule="auto"/>
        <w:ind w:left="639"/>
        <w:rPr>
          <w:rFonts w:hint="eastAsia" w:ascii="楷体_GB2312" w:hAnsi="楷体_GB2312" w:eastAsia="楷体_GB2312" w:cs="楷体_GB2312"/>
          <w:color w:val="auto"/>
          <w:spacing w:val="12"/>
          <w:sz w:val="32"/>
          <w:szCs w:val="32"/>
          <w:lang w:eastAsia="zh-CN"/>
        </w:rPr>
      </w:pPr>
      <w:r>
        <w:rPr>
          <w:rFonts w:hint="eastAsia" w:ascii="楷体_GB2312" w:hAnsi="楷体_GB2312" w:eastAsia="楷体_GB2312" w:cs="楷体_GB2312"/>
          <w:color w:val="auto"/>
          <w:spacing w:val="12"/>
          <w:sz w:val="32"/>
          <w:szCs w:val="32"/>
          <w:lang w:eastAsia="zh-CN"/>
        </w:rPr>
        <w:t>（二）存在的问题</w:t>
      </w:r>
    </w:p>
    <w:p w14:paraId="34167E4E">
      <w:pPr>
        <w:widowControl w:val="0"/>
        <w:kinsoku/>
        <w:autoSpaceDE/>
        <w:autoSpaceDN/>
        <w:spacing w:line="600" w:lineRule="exact"/>
        <w:ind w:firstLine="640" w:firstLineChars="200"/>
        <w:jc w:val="both"/>
        <w:textAlignment w:val="auto"/>
        <w:rPr>
          <w:rFonts w:hint="eastAsia" w:ascii="仿宋" w:hAnsi="仿宋" w:eastAsia="仿宋" w:cs="Times New Roman"/>
          <w:snapToGrid/>
          <w:color w:val="333333"/>
          <w:sz w:val="32"/>
          <w:szCs w:val="32"/>
          <w:lang w:eastAsia="zh-CN"/>
        </w:rPr>
      </w:pPr>
      <w:r>
        <w:rPr>
          <w:rFonts w:hint="eastAsia" w:ascii="仿宋" w:hAnsi="仿宋" w:eastAsia="仿宋" w:cs="Times New Roman"/>
          <w:snapToGrid/>
          <w:color w:val="333333"/>
          <w:sz w:val="32"/>
          <w:szCs w:val="32"/>
          <w:lang w:eastAsia="zh-CN"/>
        </w:rPr>
        <w:t>1.“债券资金未及时形成实物工作量”。</w:t>
      </w:r>
    </w:p>
    <w:p w14:paraId="5DF84994">
      <w:pPr>
        <w:widowControl w:val="0"/>
        <w:kinsoku/>
        <w:autoSpaceDE/>
        <w:autoSpaceDN/>
        <w:spacing w:line="600" w:lineRule="exact"/>
        <w:ind w:firstLine="640" w:firstLineChars="200"/>
        <w:jc w:val="both"/>
        <w:textAlignment w:val="auto"/>
        <w:rPr>
          <w:rFonts w:hint="eastAsia" w:ascii="仿宋" w:hAnsi="仿宋" w:eastAsia="仿宋" w:cs="Times New Roman"/>
          <w:snapToGrid/>
          <w:color w:val="333333"/>
          <w:sz w:val="32"/>
          <w:szCs w:val="32"/>
          <w:lang w:eastAsia="zh-CN"/>
        </w:rPr>
      </w:pPr>
      <w:r>
        <w:rPr>
          <w:rFonts w:hint="eastAsia" w:ascii="仿宋" w:hAnsi="仿宋" w:eastAsia="仿宋" w:cs="Times New Roman"/>
          <w:snapToGrid/>
          <w:color w:val="333333"/>
          <w:sz w:val="32"/>
          <w:szCs w:val="32"/>
          <w:lang w:eastAsia="zh-CN"/>
        </w:rPr>
        <w:t>2.“项目未按期开工，且建设进度缓慢”。</w:t>
      </w:r>
    </w:p>
    <w:p w14:paraId="192BAB67">
      <w:pPr>
        <w:pStyle w:val="2"/>
        <w:spacing w:before="239" w:line="372" w:lineRule="auto"/>
        <w:ind w:left="639"/>
        <w:rPr>
          <w:rFonts w:hint="eastAsia" w:ascii="楷体_GB2312" w:hAnsi="楷体_GB2312" w:eastAsia="楷体_GB2312" w:cs="楷体_GB2312"/>
          <w:color w:val="auto"/>
          <w:spacing w:val="12"/>
          <w:sz w:val="32"/>
          <w:szCs w:val="32"/>
          <w:lang w:eastAsia="zh-CN"/>
        </w:rPr>
      </w:pPr>
      <w:r>
        <w:rPr>
          <w:rFonts w:hint="eastAsia" w:ascii="楷体_GB2312" w:hAnsi="楷体_GB2312" w:eastAsia="楷体_GB2312" w:cs="楷体_GB2312"/>
          <w:color w:val="auto"/>
          <w:spacing w:val="12"/>
          <w:sz w:val="32"/>
          <w:szCs w:val="32"/>
          <w:lang w:eastAsia="zh-CN"/>
        </w:rPr>
        <w:t>（三）有关建议</w:t>
      </w:r>
      <w:bookmarkStart w:id="31" w:name="bookmark71"/>
      <w:bookmarkEnd w:id="31"/>
    </w:p>
    <w:p w14:paraId="3B5B52D4">
      <w:pPr>
        <w:widowControl w:val="0"/>
        <w:kinsoku/>
        <w:autoSpaceDE/>
        <w:autoSpaceDN/>
        <w:spacing w:line="600" w:lineRule="exact"/>
        <w:ind w:firstLine="640" w:firstLineChars="200"/>
        <w:jc w:val="both"/>
        <w:textAlignment w:val="auto"/>
        <w:rPr>
          <w:rFonts w:hint="eastAsia" w:ascii="仿宋" w:hAnsi="仿宋" w:eastAsia="仿宋" w:cs="Times New Roman"/>
          <w:snapToGrid/>
          <w:color w:val="333333"/>
          <w:sz w:val="32"/>
          <w:szCs w:val="32"/>
          <w:lang w:eastAsia="zh-CN"/>
        </w:rPr>
      </w:pPr>
      <w:r>
        <w:rPr>
          <w:rFonts w:hint="eastAsia" w:ascii="仿宋" w:hAnsi="仿宋" w:eastAsia="仿宋" w:cs="Times New Roman"/>
          <w:snapToGrid/>
          <w:color w:val="333333"/>
          <w:sz w:val="32"/>
          <w:szCs w:val="32"/>
          <w:lang w:eastAsia="zh-CN"/>
        </w:rPr>
        <w:t>1.请求市政府约谈湖南省沙坪建设有限公司并责令其加快推进项目建设。</w:t>
      </w:r>
    </w:p>
    <w:p w14:paraId="398562A3">
      <w:pPr>
        <w:widowControl w:val="0"/>
        <w:kinsoku/>
        <w:autoSpaceDE/>
        <w:autoSpaceDN/>
        <w:spacing w:line="600" w:lineRule="exact"/>
        <w:ind w:firstLine="640" w:firstLineChars="200"/>
        <w:jc w:val="both"/>
        <w:textAlignment w:val="auto"/>
        <w:rPr>
          <w:rFonts w:hint="eastAsia" w:ascii="仿宋" w:hAnsi="仿宋" w:eastAsia="仿宋" w:cs="Times New Roman"/>
          <w:snapToGrid/>
          <w:color w:val="333333"/>
          <w:sz w:val="32"/>
          <w:szCs w:val="32"/>
          <w:lang w:eastAsia="zh-CN"/>
        </w:rPr>
      </w:pPr>
      <w:r>
        <w:rPr>
          <w:rFonts w:hint="eastAsia" w:ascii="仿宋" w:hAnsi="仿宋" w:eastAsia="仿宋" w:cs="Times New Roman"/>
          <w:snapToGrid/>
          <w:color w:val="333333"/>
          <w:sz w:val="32"/>
          <w:szCs w:val="32"/>
          <w:lang w:eastAsia="zh-CN"/>
        </w:rPr>
        <w:t>2.因部分工程设计存在重大缺陷，需要变更调整，如电力增容重大调整，请求相关职能部门给予大力支持，协调解决相关变更手续。</w:t>
      </w:r>
    </w:p>
    <w:p w14:paraId="09F21971">
      <w:pPr>
        <w:widowControl w:val="0"/>
        <w:kinsoku/>
        <w:autoSpaceDE/>
        <w:autoSpaceDN/>
        <w:spacing w:line="600" w:lineRule="exact"/>
        <w:ind w:firstLine="640" w:firstLineChars="200"/>
        <w:jc w:val="both"/>
        <w:textAlignment w:val="auto"/>
        <w:rPr>
          <w:rFonts w:hint="eastAsia" w:ascii="仿宋" w:hAnsi="仿宋" w:eastAsia="仿宋" w:cs="Times New Roman"/>
          <w:snapToGrid/>
          <w:color w:val="333333"/>
          <w:sz w:val="32"/>
          <w:szCs w:val="32"/>
          <w:lang w:eastAsia="zh-CN"/>
        </w:rPr>
      </w:pPr>
      <w:r>
        <w:rPr>
          <w:rFonts w:hint="eastAsia" w:ascii="仿宋" w:hAnsi="仿宋" w:eastAsia="仿宋" w:cs="Times New Roman"/>
          <w:snapToGrid/>
          <w:color w:val="333333"/>
          <w:sz w:val="32"/>
          <w:szCs w:val="32"/>
          <w:lang w:eastAsia="zh-CN"/>
        </w:rPr>
        <w:t>附件1.项目支出绩效自评表（一个项目支出一张表）</w:t>
      </w:r>
    </w:p>
    <w:p w14:paraId="26E5D4C7">
      <w:pPr>
        <w:widowControl w:val="0"/>
        <w:kinsoku/>
        <w:autoSpaceDE/>
        <w:autoSpaceDN/>
        <w:spacing w:line="600" w:lineRule="exact"/>
        <w:ind w:firstLine="640" w:firstLineChars="200"/>
        <w:jc w:val="both"/>
        <w:textAlignment w:val="auto"/>
        <w:rPr>
          <w:rFonts w:hint="eastAsia" w:ascii="仿宋" w:hAnsi="仿宋" w:eastAsia="仿宋" w:cs="Times New Roman"/>
          <w:snapToGrid/>
          <w:color w:val="333333"/>
          <w:sz w:val="32"/>
          <w:szCs w:val="32"/>
          <w:lang w:eastAsia="zh-CN"/>
        </w:rPr>
      </w:pPr>
    </w:p>
    <w:p w14:paraId="0F8514C7">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default" w:ascii="方正小标宋_GBK" w:hAnsi="方正小标宋_GBK" w:eastAsia="方正小标宋_GBK" w:cs="方正小标宋_GBK"/>
          <w:i w:val="0"/>
          <w:iCs w:val="0"/>
          <w:caps w:val="0"/>
          <w:color w:val="000000"/>
          <w:spacing w:val="0"/>
          <w:sz w:val="20"/>
          <w:szCs w:val="20"/>
          <w:shd w:val="clear" w:fill="FFFFFF"/>
          <w:lang w:val="en-US" w:eastAsia="zh-CN"/>
        </w:rPr>
      </w:pPr>
      <w:r>
        <w:rPr>
          <w:rFonts w:hint="eastAsia" w:ascii="方正小标宋_GBK" w:hAnsi="方正小标宋_GBK" w:eastAsia="方正小标宋_GBK" w:cs="方正小标宋_GBK"/>
          <w:i w:val="0"/>
          <w:iCs w:val="0"/>
          <w:caps w:val="0"/>
          <w:color w:val="000000"/>
          <w:spacing w:val="0"/>
          <w:sz w:val="20"/>
          <w:szCs w:val="20"/>
          <w:shd w:val="clear" w:fill="FFFFFF"/>
          <w:lang w:val="en-US" w:eastAsia="zh-CN"/>
        </w:rPr>
        <w:t>附件1</w:t>
      </w:r>
    </w:p>
    <w:p w14:paraId="1C431B02">
      <w:pPr>
        <w:keepNext w:val="0"/>
        <w:keepLines w:val="0"/>
        <w:pageBreakBefore w:val="0"/>
        <w:widowControl/>
        <w:tabs>
          <w:tab w:val="left" w:pos="3611"/>
          <w:tab w:val="left" w:pos="4791"/>
          <w:tab w:val="left" w:pos="5951"/>
          <w:tab w:val="left" w:pos="7071"/>
          <w:tab w:val="left" w:pos="8191"/>
          <w:tab w:val="left" w:pos="9311"/>
        </w:tabs>
        <w:kinsoku/>
        <w:wordWrap/>
        <w:overflowPunct/>
        <w:topLinePunct w:val="0"/>
        <w:autoSpaceDE/>
        <w:autoSpaceDN/>
        <w:bidi w:val="0"/>
        <w:adjustRightInd/>
        <w:snapToGrid w:val="0"/>
        <w:spacing w:line="440" w:lineRule="atLeast"/>
        <w:ind w:left="0"/>
        <w:jc w:val="center"/>
        <w:textAlignment w:val="auto"/>
        <w:rPr>
          <w:rFonts w:hint="eastAsia" w:ascii="方正小标宋_GBK" w:hAnsi="方正小标宋_GBK" w:eastAsia="方正小标宋_GBK" w:cs="方正小标宋_GBK"/>
          <w:i w:val="0"/>
          <w:iCs w:val="0"/>
          <w:caps w:val="0"/>
          <w:color w:val="000000"/>
          <w:spacing w:val="0"/>
          <w:kern w:val="0"/>
          <w:sz w:val="28"/>
          <w:szCs w:val="28"/>
          <w:shd w:val="clear" w:fill="FFFFFF"/>
          <w:lang w:val="en-US" w:eastAsia="zh-CN" w:bidi="ar"/>
        </w:rPr>
      </w:pPr>
      <w:r>
        <w:rPr>
          <w:rFonts w:hint="eastAsia" w:ascii="方正小标宋_GBK" w:hAnsi="方正小标宋_GBK" w:eastAsia="方正小标宋_GBK" w:cs="方正小标宋_GBK"/>
          <w:i w:val="0"/>
          <w:iCs w:val="0"/>
          <w:caps w:val="0"/>
          <w:color w:val="000000"/>
          <w:spacing w:val="0"/>
          <w:kern w:val="0"/>
          <w:sz w:val="28"/>
          <w:szCs w:val="28"/>
          <w:shd w:val="clear" w:fill="FFFFFF"/>
          <w:lang w:val="en-US" w:eastAsia="zh-CN" w:bidi="ar"/>
        </w:rPr>
        <w:t>项目支出绩效自评表</w:t>
      </w:r>
    </w:p>
    <w:tbl>
      <w:tblPr>
        <w:tblStyle w:val="8"/>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1220"/>
        <w:gridCol w:w="1226"/>
        <w:gridCol w:w="1661"/>
        <w:gridCol w:w="1097"/>
        <w:gridCol w:w="1142"/>
        <w:gridCol w:w="738"/>
        <w:gridCol w:w="808"/>
        <w:gridCol w:w="1019"/>
      </w:tblGrid>
      <w:tr w14:paraId="0A615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940" w:type="dxa"/>
            <w:noWrap w:val="0"/>
            <w:vAlign w:val="center"/>
          </w:tcPr>
          <w:p w14:paraId="58C7E5A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项目支</w:t>
            </w:r>
          </w:p>
          <w:p w14:paraId="35D4889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出名称</w:t>
            </w:r>
          </w:p>
        </w:tc>
        <w:tc>
          <w:tcPr>
            <w:tcW w:w="8911" w:type="dxa"/>
            <w:gridSpan w:val="8"/>
            <w:noWrap w:val="0"/>
            <w:vAlign w:val="center"/>
          </w:tcPr>
          <w:p w14:paraId="5F3E82D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sz w:val="20"/>
                <w:szCs w:val="20"/>
                <w:lang w:eastAsia="zh-CN"/>
              </w:rPr>
              <w:t>提质扩容建设项目一期工程</w:t>
            </w:r>
            <w:r>
              <w:rPr>
                <w:rFonts w:hint="eastAsia" w:ascii="仿宋" w:hAnsi="仿宋" w:eastAsia="仿宋" w:cs="仿宋"/>
                <w:color w:val="000000"/>
                <w:kern w:val="0"/>
                <w:sz w:val="20"/>
                <w:szCs w:val="20"/>
              </w:rPr>
              <w:t>　</w:t>
            </w:r>
          </w:p>
        </w:tc>
      </w:tr>
      <w:tr w14:paraId="6303E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940" w:type="dxa"/>
            <w:noWrap w:val="0"/>
            <w:vAlign w:val="center"/>
          </w:tcPr>
          <w:p w14:paraId="2681885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16"/>
                <w:szCs w:val="16"/>
              </w:rPr>
              <w:t>主管部门</w:t>
            </w:r>
          </w:p>
        </w:tc>
        <w:tc>
          <w:tcPr>
            <w:tcW w:w="5204" w:type="dxa"/>
            <w:gridSpan w:val="4"/>
            <w:noWrap w:val="0"/>
            <w:vAlign w:val="center"/>
          </w:tcPr>
          <w:p w14:paraId="0B821F3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142" w:type="dxa"/>
            <w:noWrap w:val="0"/>
            <w:vAlign w:val="center"/>
          </w:tcPr>
          <w:p w14:paraId="29BF156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实施单位</w:t>
            </w:r>
          </w:p>
        </w:tc>
        <w:tc>
          <w:tcPr>
            <w:tcW w:w="2565" w:type="dxa"/>
            <w:gridSpan w:val="3"/>
            <w:noWrap w:val="0"/>
            <w:vAlign w:val="center"/>
          </w:tcPr>
          <w:p w14:paraId="0E128EF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eastAsia="zh-CN"/>
              </w:rPr>
              <w:t>怀化职业技术学院</w:t>
            </w:r>
          </w:p>
        </w:tc>
      </w:tr>
      <w:tr w14:paraId="2BC35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0" w:type="dxa"/>
            <w:vMerge w:val="restart"/>
            <w:noWrap w:val="0"/>
            <w:vAlign w:val="center"/>
          </w:tcPr>
          <w:p w14:paraId="7766348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rPr>
              <w:t>项目资金</w:t>
            </w:r>
          </w:p>
          <w:p w14:paraId="4E23883A">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lang w:eastAsia="zh-CN"/>
              </w:rPr>
              <w:t>（</w:t>
            </w:r>
            <w:r>
              <w:rPr>
                <w:rFonts w:hint="eastAsia" w:ascii="仿宋" w:hAnsi="仿宋" w:eastAsia="仿宋" w:cs="仿宋"/>
                <w:color w:val="000000"/>
                <w:kern w:val="0"/>
                <w:sz w:val="20"/>
                <w:szCs w:val="20"/>
              </w:rPr>
              <w:t>万元）</w:t>
            </w:r>
          </w:p>
        </w:tc>
        <w:tc>
          <w:tcPr>
            <w:tcW w:w="2446" w:type="dxa"/>
            <w:gridSpan w:val="2"/>
            <w:noWrap w:val="0"/>
            <w:vAlign w:val="center"/>
          </w:tcPr>
          <w:p w14:paraId="1084371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c>
          <w:tcPr>
            <w:tcW w:w="1661" w:type="dxa"/>
            <w:noWrap w:val="0"/>
            <w:vAlign w:val="center"/>
          </w:tcPr>
          <w:p w14:paraId="64F444E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年初</w:t>
            </w:r>
          </w:p>
          <w:p w14:paraId="3FB52C2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097" w:type="dxa"/>
            <w:noWrap w:val="0"/>
            <w:vAlign w:val="center"/>
          </w:tcPr>
          <w:p w14:paraId="68FE91A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全年</w:t>
            </w:r>
          </w:p>
          <w:p w14:paraId="354731F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预算数</w:t>
            </w:r>
          </w:p>
        </w:tc>
        <w:tc>
          <w:tcPr>
            <w:tcW w:w="1142" w:type="dxa"/>
            <w:noWrap w:val="0"/>
            <w:vAlign w:val="center"/>
          </w:tcPr>
          <w:p w14:paraId="7392C54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全年</w:t>
            </w:r>
          </w:p>
          <w:p w14:paraId="6DCF67A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执行数</w:t>
            </w:r>
          </w:p>
        </w:tc>
        <w:tc>
          <w:tcPr>
            <w:tcW w:w="738" w:type="dxa"/>
            <w:noWrap w:val="0"/>
            <w:vAlign w:val="center"/>
          </w:tcPr>
          <w:p w14:paraId="3CD6535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分值</w:t>
            </w:r>
          </w:p>
        </w:tc>
        <w:tc>
          <w:tcPr>
            <w:tcW w:w="808" w:type="dxa"/>
            <w:noWrap w:val="0"/>
            <w:vAlign w:val="center"/>
          </w:tcPr>
          <w:p w14:paraId="1B35421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执行率</w:t>
            </w:r>
          </w:p>
        </w:tc>
        <w:tc>
          <w:tcPr>
            <w:tcW w:w="1019" w:type="dxa"/>
            <w:noWrap w:val="0"/>
            <w:vAlign w:val="center"/>
          </w:tcPr>
          <w:p w14:paraId="506731E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sz w:val="20"/>
                <w:szCs w:val="20"/>
              </w:rPr>
            </w:pPr>
            <w:r>
              <w:rPr>
                <w:rFonts w:hint="eastAsia" w:ascii="仿宋" w:hAnsi="仿宋" w:eastAsia="仿宋" w:cs="仿宋"/>
                <w:sz w:val="20"/>
                <w:szCs w:val="20"/>
              </w:rPr>
              <w:t>得分</w:t>
            </w:r>
          </w:p>
        </w:tc>
      </w:tr>
      <w:tr w14:paraId="4208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0" w:type="dxa"/>
            <w:vMerge w:val="continue"/>
            <w:noWrap w:val="0"/>
            <w:vAlign w:val="center"/>
          </w:tcPr>
          <w:p w14:paraId="4FF6C519">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446" w:type="dxa"/>
            <w:gridSpan w:val="2"/>
            <w:noWrap w:val="0"/>
            <w:vAlign w:val="center"/>
          </w:tcPr>
          <w:p w14:paraId="0719B1D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年度资金总额　</w:t>
            </w:r>
          </w:p>
        </w:tc>
        <w:tc>
          <w:tcPr>
            <w:tcW w:w="1661" w:type="dxa"/>
            <w:shd w:val="clear" w:color="auto" w:fill="auto"/>
            <w:noWrap w:val="0"/>
            <w:vAlign w:val="center"/>
          </w:tcPr>
          <w:p w14:paraId="39F9DC9A">
            <w:pPr>
              <w:spacing w:line="280" w:lineRule="exact"/>
              <w:ind w:firstLine="400" w:firstLineChars="200"/>
              <w:rPr>
                <w:rFonts w:hint="eastAsia" w:ascii="仿宋" w:hAnsi="仿宋" w:eastAsia="仿宋" w:cs="仿宋"/>
                <w:snapToGrid w:val="0"/>
                <w:color w:val="000000"/>
                <w:sz w:val="20"/>
                <w:szCs w:val="20"/>
                <w:highlight w:val="yellow"/>
                <w:lang w:val="en-US" w:eastAsia="en-US" w:bidi="ar-SA"/>
              </w:rPr>
            </w:pPr>
            <w:r>
              <w:rPr>
                <w:rFonts w:hint="eastAsia" w:ascii="仿宋" w:hAnsi="仿宋" w:eastAsia="仿宋" w:cs="仿宋"/>
                <w:sz w:val="20"/>
                <w:szCs w:val="20"/>
                <w:lang w:eastAsia="zh-CN"/>
              </w:rPr>
              <w:t>9900</w:t>
            </w:r>
          </w:p>
        </w:tc>
        <w:tc>
          <w:tcPr>
            <w:tcW w:w="1097" w:type="dxa"/>
            <w:shd w:val="clear" w:color="auto" w:fill="auto"/>
            <w:noWrap w:val="0"/>
            <w:vAlign w:val="center"/>
          </w:tcPr>
          <w:p w14:paraId="7EF5E3EC">
            <w:pPr>
              <w:spacing w:line="280" w:lineRule="exact"/>
              <w:rPr>
                <w:rFonts w:hint="eastAsia" w:ascii="仿宋" w:hAnsi="仿宋" w:eastAsia="仿宋" w:cs="仿宋"/>
                <w:snapToGrid w:val="0"/>
                <w:color w:val="000000"/>
                <w:sz w:val="20"/>
                <w:szCs w:val="20"/>
                <w:lang w:val="en-US" w:eastAsia="en-US" w:bidi="ar-SA"/>
              </w:rPr>
            </w:pPr>
            <w:r>
              <w:rPr>
                <w:rFonts w:hint="eastAsia" w:ascii="仿宋" w:hAnsi="仿宋" w:eastAsia="仿宋" w:cs="仿宋"/>
                <w:sz w:val="20"/>
                <w:szCs w:val="20"/>
              </w:rPr>
              <w:t>　</w:t>
            </w:r>
            <w:r>
              <w:rPr>
                <w:rFonts w:hint="eastAsia" w:ascii="仿宋" w:hAnsi="仿宋" w:eastAsia="仿宋" w:cs="仿宋"/>
                <w:sz w:val="20"/>
                <w:szCs w:val="20"/>
                <w:lang w:eastAsia="zh-CN"/>
              </w:rPr>
              <w:t>9900</w:t>
            </w:r>
          </w:p>
        </w:tc>
        <w:tc>
          <w:tcPr>
            <w:tcW w:w="1142" w:type="dxa"/>
            <w:shd w:val="clear" w:color="auto" w:fill="auto"/>
            <w:noWrap w:val="0"/>
            <w:vAlign w:val="center"/>
          </w:tcPr>
          <w:p w14:paraId="016F9F9C">
            <w:pPr>
              <w:spacing w:line="280" w:lineRule="exact"/>
              <w:rPr>
                <w:rFonts w:hint="eastAsia" w:ascii="仿宋" w:hAnsi="仿宋" w:eastAsia="仿宋" w:cs="仿宋"/>
                <w:snapToGrid w:val="0"/>
                <w:color w:val="000000"/>
                <w:sz w:val="20"/>
                <w:szCs w:val="20"/>
                <w:lang w:val="en-US" w:eastAsia="en-US" w:bidi="ar-SA"/>
              </w:rPr>
            </w:pPr>
            <w:r>
              <w:rPr>
                <w:rFonts w:hint="eastAsia" w:ascii="仿宋" w:hAnsi="仿宋" w:eastAsia="仿宋" w:cs="仿宋"/>
                <w:sz w:val="20"/>
                <w:szCs w:val="20"/>
              </w:rPr>
              <w:t>　</w:t>
            </w:r>
            <w:r>
              <w:rPr>
                <w:rFonts w:ascii="仿宋" w:hAnsi="仿宋" w:eastAsia="仿宋" w:cs="仿宋"/>
                <w:sz w:val="20"/>
                <w:szCs w:val="20"/>
              </w:rPr>
              <w:t>2951</w:t>
            </w:r>
            <w:r>
              <w:rPr>
                <w:rFonts w:hint="eastAsia" w:ascii="仿宋" w:hAnsi="仿宋" w:eastAsia="仿宋" w:cs="仿宋"/>
                <w:sz w:val="20"/>
                <w:szCs w:val="20"/>
                <w:lang w:eastAsia="zh-CN"/>
              </w:rPr>
              <w:t>.</w:t>
            </w:r>
            <w:r>
              <w:rPr>
                <w:rFonts w:ascii="仿宋" w:hAnsi="仿宋" w:eastAsia="仿宋" w:cs="仿宋"/>
                <w:sz w:val="20"/>
                <w:szCs w:val="20"/>
              </w:rPr>
              <w:t>1</w:t>
            </w:r>
            <w:r>
              <w:rPr>
                <w:rFonts w:hint="eastAsia" w:ascii="仿宋" w:hAnsi="仿宋" w:eastAsia="仿宋" w:cs="仿宋"/>
                <w:sz w:val="20"/>
                <w:szCs w:val="20"/>
                <w:lang w:eastAsia="zh-CN"/>
              </w:rPr>
              <w:t>5</w:t>
            </w:r>
          </w:p>
        </w:tc>
        <w:tc>
          <w:tcPr>
            <w:tcW w:w="738" w:type="dxa"/>
            <w:shd w:val="clear" w:color="auto" w:fill="auto"/>
            <w:noWrap w:val="0"/>
            <w:vAlign w:val="center"/>
          </w:tcPr>
          <w:p w14:paraId="4F9E2990">
            <w:pPr>
              <w:spacing w:line="280" w:lineRule="exact"/>
              <w:rPr>
                <w:rFonts w:hint="eastAsia" w:ascii="仿宋" w:hAnsi="仿宋" w:eastAsia="仿宋" w:cs="仿宋"/>
                <w:snapToGrid w:val="0"/>
                <w:color w:val="000000"/>
                <w:sz w:val="20"/>
                <w:szCs w:val="20"/>
                <w:lang w:val="en-US" w:eastAsia="en-US" w:bidi="ar-SA"/>
              </w:rPr>
            </w:pPr>
            <w:r>
              <w:rPr>
                <w:rFonts w:hint="eastAsia" w:ascii="仿宋" w:hAnsi="仿宋" w:eastAsia="仿宋" w:cs="仿宋"/>
                <w:sz w:val="20"/>
                <w:szCs w:val="20"/>
              </w:rPr>
              <w:t>　10</w:t>
            </w:r>
          </w:p>
        </w:tc>
        <w:tc>
          <w:tcPr>
            <w:tcW w:w="808" w:type="dxa"/>
            <w:shd w:val="clear" w:color="auto" w:fill="auto"/>
            <w:noWrap w:val="0"/>
            <w:vAlign w:val="center"/>
          </w:tcPr>
          <w:p w14:paraId="0EE6057A">
            <w:pPr>
              <w:spacing w:line="280" w:lineRule="exact"/>
              <w:rPr>
                <w:rFonts w:hint="default" w:ascii="仿宋" w:hAnsi="仿宋" w:eastAsia="仿宋" w:cs="仿宋"/>
                <w:snapToGrid w:val="0"/>
                <w:color w:val="000000"/>
                <w:sz w:val="20"/>
                <w:szCs w:val="20"/>
                <w:lang w:val="en-US" w:eastAsia="zh-CN" w:bidi="ar-SA"/>
              </w:rPr>
            </w:pPr>
            <w:r>
              <w:rPr>
                <w:rFonts w:hint="eastAsia" w:ascii="仿宋" w:hAnsi="仿宋" w:eastAsia="仿宋" w:cs="仿宋"/>
                <w:snapToGrid w:val="0"/>
                <w:color w:val="000000"/>
                <w:sz w:val="20"/>
                <w:szCs w:val="20"/>
                <w:lang w:val="en-US" w:eastAsia="zh-CN" w:bidi="ar-SA"/>
              </w:rPr>
              <w:t>29.81%</w:t>
            </w:r>
          </w:p>
        </w:tc>
        <w:tc>
          <w:tcPr>
            <w:tcW w:w="1019" w:type="dxa"/>
            <w:noWrap w:val="0"/>
            <w:vAlign w:val="center"/>
          </w:tcPr>
          <w:p w14:paraId="593376B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2.98</w:t>
            </w:r>
          </w:p>
        </w:tc>
      </w:tr>
      <w:tr w14:paraId="72F38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0" w:type="dxa"/>
            <w:vMerge w:val="continue"/>
            <w:noWrap w:val="0"/>
            <w:vAlign w:val="center"/>
          </w:tcPr>
          <w:p w14:paraId="416117C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446" w:type="dxa"/>
            <w:gridSpan w:val="2"/>
            <w:noWrap w:val="0"/>
            <w:vAlign w:val="center"/>
          </w:tcPr>
          <w:p w14:paraId="11F8BAC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其中：当年财政拨款　</w:t>
            </w:r>
          </w:p>
        </w:tc>
        <w:tc>
          <w:tcPr>
            <w:tcW w:w="1661" w:type="dxa"/>
            <w:shd w:val="clear" w:color="auto" w:fill="auto"/>
            <w:noWrap w:val="0"/>
            <w:vAlign w:val="center"/>
          </w:tcPr>
          <w:p w14:paraId="6280EAC5">
            <w:pPr>
              <w:spacing w:line="280" w:lineRule="exact"/>
              <w:rPr>
                <w:rFonts w:hint="eastAsia" w:ascii="仿宋" w:hAnsi="仿宋" w:eastAsia="仿宋" w:cs="仿宋"/>
                <w:snapToGrid w:val="0"/>
                <w:color w:val="000000"/>
                <w:sz w:val="20"/>
                <w:szCs w:val="20"/>
                <w:highlight w:val="yellow"/>
                <w:lang w:val="en-US" w:eastAsia="zh-CN" w:bidi="ar-SA"/>
              </w:rPr>
            </w:pPr>
          </w:p>
        </w:tc>
        <w:tc>
          <w:tcPr>
            <w:tcW w:w="1097" w:type="dxa"/>
            <w:shd w:val="clear" w:color="auto" w:fill="auto"/>
            <w:noWrap w:val="0"/>
            <w:vAlign w:val="center"/>
          </w:tcPr>
          <w:p w14:paraId="02496D23">
            <w:pPr>
              <w:spacing w:line="280" w:lineRule="exact"/>
              <w:rPr>
                <w:rFonts w:hint="eastAsia" w:ascii="仿宋" w:hAnsi="仿宋" w:eastAsia="仿宋" w:cs="仿宋"/>
                <w:snapToGrid w:val="0"/>
                <w:color w:val="000000"/>
                <w:sz w:val="20"/>
                <w:szCs w:val="20"/>
                <w:lang w:val="en-US" w:eastAsia="zh-CN" w:bidi="ar-SA"/>
              </w:rPr>
            </w:pPr>
            <w:r>
              <w:rPr>
                <w:rFonts w:hint="eastAsia" w:ascii="仿宋" w:hAnsi="仿宋" w:eastAsia="仿宋" w:cs="仿宋"/>
                <w:sz w:val="20"/>
                <w:szCs w:val="20"/>
                <w:lang w:eastAsia="zh-CN"/>
              </w:rPr>
              <w:t>　</w:t>
            </w:r>
          </w:p>
        </w:tc>
        <w:tc>
          <w:tcPr>
            <w:tcW w:w="1142" w:type="dxa"/>
            <w:shd w:val="clear" w:color="auto" w:fill="auto"/>
            <w:noWrap w:val="0"/>
            <w:vAlign w:val="center"/>
          </w:tcPr>
          <w:p w14:paraId="602D9A4B">
            <w:pPr>
              <w:spacing w:line="280" w:lineRule="exact"/>
              <w:rPr>
                <w:rFonts w:hint="eastAsia" w:ascii="仿宋" w:hAnsi="仿宋" w:eastAsia="仿宋" w:cs="仿宋"/>
                <w:snapToGrid w:val="0"/>
                <w:color w:val="000000"/>
                <w:sz w:val="20"/>
                <w:szCs w:val="20"/>
                <w:lang w:val="en-US" w:eastAsia="zh-CN" w:bidi="ar-SA"/>
              </w:rPr>
            </w:pPr>
            <w:r>
              <w:rPr>
                <w:rFonts w:hint="eastAsia" w:ascii="仿宋" w:hAnsi="仿宋" w:eastAsia="仿宋" w:cs="仿宋"/>
                <w:sz w:val="20"/>
                <w:szCs w:val="20"/>
                <w:lang w:eastAsia="zh-CN"/>
              </w:rPr>
              <w:t>　</w:t>
            </w:r>
          </w:p>
        </w:tc>
        <w:tc>
          <w:tcPr>
            <w:tcW w:w="738" w:type="dxa"/>
            <w:shd w:val="clear" w:color="auto" w:fill="auto"/>
            <w:noWrap w:val="0"/>
            <w:vAlign w:val="center"/>
          </w:tcPr>
          <w:p w14:paraId="32BDBFF8">
            <w:pPr>
              <w:spacing w:line="280" w:lineRule="exact"/>
              <w:rPr>
                <w:rFonts w:hint="eastAsia" w:ascii="仿宋" w:hAnsi="仿宋" w:eastAsia="仿宋" w:cs="仿宋"/>
                <w:snapToGrid w:val="0"/>
                <w:color w:val="000000"/>
                <w:sz w:val="20"/>
                <w:szCs w:val="20"/>
                <w:lang w:val="en-US" w:eastAsia="zh-CN" w:bidi="ar-SA"/>
              </w:rPr>
            </w:pPr>
            <w:r>
              <w:rPr>
                <w:rFonts w:hint="eastAsia" w:ascii="仿宋" w:hAnsi="仿宋" w:eastAsia="仿宋" w:cs="仿宋"/>
                <w:sz w:val="20"/>
                <w:szCs w:val="20"/>
                <w:lang w:eastAsia="zh-CN"/>
              </w:rPr>
              <w:t>　</w:t>
            </w:r>
          </w:p>
        </w:tc>
        <w:tc>
          <w:tcPr>
            <w:tcW w:w="808" w:type="dxa"/>
            <w:shd w:val="clear" w:color="auto" w:fill="auto"/>
            <w:noWrap w:val="0"/>
            <w:vAlign w:val="center"/>
          </w:tcPr>
          <w:p w14:paraId="1CA90FC1">
            <w:pPr>
              <w:spacing w:line="280" w:lineRule="exact"/>
              <w:rPr>
                <w:rFonts w:hint="eastAsia" w:ascii="仿宋" w:hAnsi="仿宋" w:eastAsia="仿宋" w:cs="仿宋"/>
                <w:snapToGrid w:val="0"/>
                <w:color w:val="000000"/>
                <w:sz w:val="20"/>
                <w:szCs w:val="20"/>
                <w:lang w:val="en-US" w:eastAsia="zh-CN" w:bidi="ar-SA"/>
              </w:rPr>
            </w:pPr>
            <w:r>
              <w:rPr>
                <w:rFonts w:hint="eastAsia" w:ascii="仿宋" w:hAnsi="仿宋" w:eastAsia="仿宋" w:cs="仿宋"/>
                <w:sz w:val="20"/>
                <w:szCs w:val="20"/>
                <w:lang w:eastAsia="zh-CN"/>
              </w:rPr>
              <w:t>　</w:t>
            </w:r>
          </w:p>
        </w:tc>
        <w:tc>
          <w:tcPr>
            <w:tcW w:w="1019" w:type="dxa"/>
            <w:noWrap w:val="0"/>
            <w:vAlign w:val="center"/>
          </w:tcPr>
          <w:p w14:paraId="0E163F4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AA22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0" w:type="dxa"/>
            <w:vMerge w:val="continue"/>
            <w:noWrap w:val="0"/>
            <w:vAlign w:val="center"/>
          </w:tcPr>
          <w:p w14:paraId="49148A7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446" w:type="dxa"/>
            <w:gridSpan w:val="2"/>
            <w:noWrap w:val="0"/>
            <w:vAlign w:val="center"/>
          </w:tcPr>
          <w:p w14:paraId="563ED0D6">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上年结转资金　</w:t>
            </w:r>
          </w:p>
        </w:tc>
        <w:tc>
          <w:tcPr>
            <w:tcW w:w="1661" w:type="dxa"/>
            <w:shd w:val="clear" w:color="auto" w:fill="auto"/>
            <w:noWrap w:val="0"/>
            <w:vAlign w:val="center"/>
          </w:tcPr>
          <w:p w14:paraId="468244D7">
            <w:pPr>
              <w:spacing w:line="280" w:lineRule="exact"/>
              <w:ind w:firstLine="200" w:firstLineChars="100"/>
              <w:jc w:val="center"/>
              <w:rPr>
                <w:rFonts w:hint="eastAsia" w:ascii="仿宋" w:hAnsi="仿宋" w:eastAsia="仿宋" w:cs="仿宋"/>
                <w:snapToGrid w:val="0"/>
                <w:color w:val="000000"/>
                <w:sz w:val="20"/>
                <w:szCs w:val="20"/>
                <w:lang w:val="en-US" w:eastAsia="en-US" w:bidi="ar-SA"/>
              </w:rPr>
            </w:pPr>
          </w:p>
        </w:tc>
        <w:tc>
          <w:tcPr>
            <w:tcW w:w="1097" w:type="dxa"/>
            <w:shd w:val="clear" w:color="auto" w:fill="auto"/>
            <w:noWrap w:val="0"/>
            <w:vAlign w:val="center"/>
          </w:tcPr>
          <w:p w14:paraId="32D1AF22">
            <w:pPr>
              <w:spacing w:line="280" w:lineRule="exact"/>
              <w:jc w:val="center"/>
              <w:rPr>
                <w:rFonts w:hint="eastAsia" w:ascii="仿宋" w:hAnsi="仿宋" w:eastAsia="仿宋" w:cs="仿宋"/>
                <w:snapToGrid w:val="0"/>
                <w:color w:val="000000"/>
                <w:sz w:val="20"/>
                <w:szCs w:val="20"/>
                <w:lang w:val="en-US" w:eastAsia="en-US" w:bidi="ar-SA"/>
              </w:rPr>
            </w:pPr>
          </w:p>
        </w:tc>
        <w:tc>
          <w:tcPr>
            <w:tcW w:w="1142" w:type="dxa"/>
            <w:shd w:val="clear" w:color="auto" w:fill="auto"/>
            <w:noWrap w:val="0"/>
            <w:vAlign w:val="center"/>
          </w:tcPr>
          <w:p w14:paraId="7B7DA057">
            <w:pPr>
              <w:spacing w:line="280" w:lineRule="exact"/>
              <w:jc w:val="center"/>
              <w:rPr>
                <w:rFonts w:hint="eastAsia" w:ascii="仿宋" w:hAnsi="仿宋" w:eastAsia="仿宋" w:cs="仿宋"/>
                <w:snapToGrid w:val="0"/>
                <w:color w:val="000000"/>
                <w:sz w:val="20"/>
                <w:szCs w:val="20"/>
                <w:lang w:val="en-US" w:eastAsia="en-US" w:bidi="ar-SA"/>
              </w:rPr>
            </w:pPr>
          </w:p>
        </w:tc>
        <w:tc>
          <w:tcPr>
            <w:tcW w:w="738" w:type="dxa"/>
            <w:shd w:val="clear" w:color="auto" w:fill="auto"/>
            <w:noWrap w:val="0"/>
            <w:vAlign w:val="center"/>
          </w:tcPr>
          <w:p w14:paraId="1C7D1AE3">
            <w:pPr>
              <w:spacing w:line="280" w:lineRule="exact"/>
              <w:rPr>
                <w:rFonts w:hint="eastAsia" w:ascii="仿宋" w:hAnsi="仿宋" w:eastAsia="仿宋" w:cs="仿宋"/>
                <w:snapToGrid w:val="0"/>
                <w:color w:val="000000"/>
                <w:sz w:val="20"/>
                <w:szCs w:val="20"/>
                <w:lang w:val="en-US" w:eastAsia="en-US" w:bidi="ar-SA"/>
              </w:rPr>
            </w:pPr>
            <w:r>
              <w:rPr>
                <w:rFonts w:hint="eastAsia" w:ascii="仿宋" w:hAnsi="仿宋" w:eastAsia="仿宋" w:cs="仿宋"/>
                <w:sz w:val="20"/>
                <w:szCs w:val="20"/>
              </w:rPr>
              <w:t>　</w:t>
            </w:r>
          </w:p>
        </w:tc>
        <w:tc>
          <w:tcPr>
            <w:tcW w:w="808" w:type="dxa"/>
            <w:shd w:val="clear" w:color="auto" w:fill="auto"/>
            <w:noWrap w:val="0"/>
            <w:vAlign w:val="center"/>
          </w:tcPr>
          <w:p w14:paraId="2E4835A8">
            <w:pPr>
              <w:spacing w:line="280" w:lineRule="exact"/>
              <w:rPr>
                <w:rFonts w:hint="eastAsia" w:ascii="仿宋" w:hAnsi="仿宋" w:eastAsia="仿宋" w:cs="仿宋"/>
                <w:snapToGrid w:val="0"/>
                <w:color w:val="000000"/>
                <w:sz w:val="20"/>
                <w:szCs w:val="20"/>
                <w:lang w:val="en-US" w:eastAsia="en-US" w:bidi="ar-SA"/>
              </w:rPr>
            </w:pPr>
            <w:r>
              <w:rPr>
                <w:rFonts w:hint="eastAsia" w:ascii="仿宋" w:hAnsi="仿宋" w:eastAsia="仿宋" w:cs="仿宋"/>
                <w:sz w:val="20"/>
                <w:szCs w:val="20"/>
              </w:rPr>
              <w:t>　</w:t>
            </w:r>
          </w:p>
        </w:tc>
        <w:tc>
          <w:tcPr>
            <w:tcW w:w="1019" w:type="dxa"/>
            <w:noWrap w:val="0"/>
            <w:vAlign w:val="center"/>
          </w:tcPr>
          <w:p w14:paraId="3D7ABE7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70540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940" w:type="dxa"/>
            <w:vMerge w:val="continue"/>
            <w:noWrap w:val="0"/>
            <w:vAlign w:val="center"/>
          </w:tcPr>
          <w:p w14:paraId="6E72E57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2446" w:type="dxa"/>
            <w:gridSpan w:val="2"/>
            <w:noWrap w:val="0"/>
            <w:vAlign w:val="center"/>
          </w:tcPr>
          <w:p w14:paraId="57329600">
            <w:pPr>
              <w:keepNext w:val="0"/>
              <w:keepLines w:val="0"/>
              <w:pageBreakBefore w:val="0"/>
              <w:widowControl/>
              <w:kinsoku/>
              <w:wordWrap/>
              <w:overflowPunct/>
              <w:topLinePunct w:val="0"/>
              <w:autoSpaceDE/>
              <w:autoSpaceDN/>
              <w:bidi w:val="0"/>
              <w:adjustRightInd/>
              <w:snapToGrid/>
              <w:spacing w:line="280" w:lineRule="exact"/>
              <w:ind w:firstLine="600" w:firstLineChars="300"/>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其他资金</w:t>
            </w:r>
          </w:p>
        </w:tc>
        <w:tc>
          <w:tcPr>
            <w:tcW w:w="1661" w:type="dxa"/>
            <w:shd w:val="clear" w:color="auto" w:fill="auto"/>
            <w:noWrap w:val="0"/>
            <w:vAlign w:val="center"/>
          </w:tcPr>
          <w:p w14:paraId="77B7D585">
            <w:pPr>
              <w:spacing w:line="280" w:lineRule="exact"/>
              <w:jc w:val="center"/>
              <w:rPr>
                <w:rFonts w:hint="eastAsia" w:ascii="仿宋" w:hAnsi="仿宋" w:eastAsia="仿宋" w:cs="仿宋"/>
                <w:snapToGrid w:val="0"/>
                <w:color w:val="000000"/>
                <w:sz w:val="20"/>
                <w:szCs w:val="20"/>
                <w:lang w:val="en-US" w:eastAsia="en-US" w:bidi="ar-SA"/>
              </w:rPr>
            </w:pPr>
            <w:r>
              <w:rPr>
                <w:rFonts w:hint="eastAsia" w:ascii="仿宋" w:hAnsi="仿宋" w:eastAsia="仿宋" w:cs="仿宋"/>
                <w:sz w:val="20"/>
                <w:szCs w:val="20"/>
                <w:lang w:eastAsia="zh-CN"/>
              </w:rPr>
              <w:t>9900</w:t>
            </w:r>
          </w:p>
        </w:tc>
        <w:tc>
          <w:tcPr>
            <w:tcW w:w="1097" w:type="dxa"/>
            <w:shd w:val="clear" w:color="auto" w:fill="auto"/>
            <w:noWrap w:val="0"/>
            <w:vAlign w:val="center"/>
          </w:tcPr>
          <w:p w14:paraId="56861B0B">
            <w:pPr>
              <w:spacing w:line="280" w:lineRule="exact"/>
              <w:jc w:val="center"/>
              <w:rPr>
                <w:rFonts w:hint="eastAsia" w:ascii="仿宋" w:hAnsi="仿宋" w:eastAsia="仿宋" w:cs="仿宋"/>
                <w:snapToGrid w:val="0"/>
                <w:color w:val="000000"/>
                <w:sz w:val="20"/>
                <w:szCs w:val="20"/>
                <w:lang w:val="en-US" w:eastAsia="en-US" w:bidi="ar-SA"/>
              </w:rPr>
            </w:pPr>
            <w:r>
              <w:rPr>
                <w:rFonts w:hint="eastAsia" w:ascii="仿宋" w:hAnsi="仿宋" w:eastAsia="仿宋" w:cs="仿宋"/>
                <w:sz w:val="20"/>
                <w:szCs w:val="20"/>
                <w:lang w:eastAsia="zh-CN"/>
              </w:rPr>
              <w:t>9900</w:t>
            </w:r>
          </w:p>
        </w:tc>
        <w:tc>
          <w:tcPr>
            <w:tcW w:w="1142" w:type="dxa"/>
            <w:shd w:val="clear" w:color="auto" w:fill="auto"/>
            <w:noWrap w:val="0"/>
            <w:vAlign w:val="center"/>
          </w:tcPr>
          <w:p w14:paraId="7B0BC2F2">
            <w:pPr>
              <w:spacing w:line="280" w:lineRule="exact"/>
              <w:jc w:val="center"/>
              <w:rPr>
                <w:rFonts w:hint="eastAsia" w:ascii="仿宋" w:hAnsi="仿宋" w:eastAsia="仿宋" w:cs="仿宋"/>
                <w:snapToGrid w:val="0"/>
                <w:color w:val="000000"/>
                <w:sz w:val="20"/>
                <w:szCs w:val="20"/>
                <w:lang w:val="en-US" w:eastAsia="en-US" w:bidi="ar-SA"/>
              </w:rPr>
            </w:pPr>
            <w:r>
              <w:rPr>
                <w:rFonts w:ascii="仿宋" w:hAnsi="仿宋" w:eastAsia="仿宋" w:cs="仿宋"/>
                <w:sz w:val="20"/>
                <w:szCs w:val="20"/>
              </w:rPr>
              <w:t>2951</w:t>
            </w:r>
            <w:r>
              <w:rPr>
                <w:rFonts w:hint="eastAsia" w:ascii="仿宋" w:hAnsi="仿宋" w:eastAsia="仿宋" w:cs="仿宋"/>
                <w:sz w:val="20"/>
                <w:szCs w:val="20"/>
                <w:lang w:eastAsia="zh-CN"/>
              </w:rPr>
              <w:t>.</w:t>
            </w:r>
            <w:r>
              <w:rPr>
                <w:rFonts w:ascii="仿宋" w:hAnsi="仿宋" w:eastAsia="仿宋" w:cs="仿宋"/>
                <w:sz w:val="20"/>
                <w:szCs w:val="20"/>
              </w:rPr>
              <w:t>1</w:t>
            </w:r>
            <w:r>
              <w:rPr>
                <w:rFonts w:hint="eastAsia" w:ascii="仿宋" w:hAnsi="仿宋" w:eastAsia="仿宋" w:cs="仿宋"/>
                <w:sz w:val="20"/>
                <w:szCs w:val="20"/>
                <w:lang w:eastAsia="zh-CN"/>
              </w:rPr>
              <w:t>5</w:t>
            </w:r>
          </w:p>
        </w:tc>
        <w:tc>
          <w:tcPr>
            <w:tcW w:w="738" w:type="dxa"/>
            <w:shd w:val="clear" w:color="auto" w:fill="auto"/>
            <w:noWrap w:val="0"/>
            <w:vAlign w:val="center"/>
          </w:tcPr>
          <w:p w14:paraId="7CE56741">
            <w:pPr>
              <w:spacing w:line="280" w:lineRule="exact"/>
              <w:rPr>
                <w:rFonts w:hint="eastAsia" w:ascii="仿宋" w:hAnsi="仿宋" w:eastAsia="仿宋" w:cs="仿宋"/>
                <w:snapToGrid w:val="0"/>
                <w:color w:val="000000"/>
                <w:sz w:val="20"/>
                <w:szCs w:val="20"/>
                <w:lang w:val="en-US" w:eastAsia="en-US" w:bidi="ar-SA"/>
              </w:rPr>
            </w:pPr>
            <w:r>
              <w:rPr>
                <w:rFonts w:hint="eastAsia" w:ascii="仿宋" w:hAnsi="仿宋" w:eastAsia="仿宋" w:cs="仿宋"/>
                <w:sz w:val="20"/>
                <w:szCs w:val="20"/>
              </w:rPr>
              <w:t>　</w:t>
            </w:r>
          </w:p>
        </w:tc>
        <w:tc>
          <w:tcPr>
            <w:tcW w:w="808" w:type="dxa"/>
            <w:shd w:val="clear" w:color="auto" w:fill="auto"/>
            <w:noWrap w:val="0"/>
            <w:vAlign w:val="center"/>
          </w:tcPr>
          <w:p w14:paraId="7BD5A9F1">
            <w:pPr>
              <w:spacing w:line="280" w:lineRule="exact"/>
              <w:rPr>
                <w:rFonts w:hint="eastAsia" w:ascii="仿宋" w:hAnsi="仿宋" w:eastAsia="仿宋" w:cs="仿宋"/>
                <w:snapToGrid w:val="0"/>
                <w:color w:val="000000"/>
                <w:sz w:val="20"/>
                <w:szCs w:val="20"/>
                <w:lang w:val="en-US" w:eastAsia="en-US" w:bidi="ar-SA"/>
              </w:rPr>
            </w:pPr>
            <w:r>
              <w:rPr>
                <w:rFonts w:hint="eastAsia" w:ascii="仿宋" w:hAnsi="仿宋" w:eastAsia="仿宋" w:cs="仿宋"/>
                <w:sz w:val="20"/>
                <w:szCs w:val="20"/>
              </w:rPr>
              <w:t>　</w:t>
            </w:r>
          </w:p>
        </w:tc>
        <w:tc>
          <w:tcPr>
            <w:tcW w:w="1019" w:type="dxa"/>
            <w:noWrap w:val="0"/>
            <w:vAlign w:val="center"/>
          </w:tcPr>
          <w:p w14:paraId="5C4F157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A177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940" w:type="dxa"/>
            <w:vMerge w:val="restart"/>
            <w:noWrap w:val="0"/>
            <w:vAlign w:val="center"/>
          </w:tcPr>
          <w:p w14:paraId="2732578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年度总体目标</w:t>
            </w:r>
          </w:p>
        </w:tc>
        <w:tc>
          <w:tcPr>
            <w:tcW w:w="5204" w:type="dxa"/>
            <w:gridSpan w:val="4"/>
            <w:noWrap w:val="0"/>
            <w:vAlign w:val="center"/>
          </w:tcPr>
          <w:p w14:paraId="1BC8DFF9">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预期目标</w:t>
            </w:r>
          </w:p>
        </w:tc>
        <w:tc>
          <w:tcPr>
            <w:tcW w:w="3707" w:type="dxa"/>
            <w:gridSpan w:val="4"/>
            <w:noWrap w:val="0"/>
            <w:vAlign w:val="center"/>
          </w:tcPr>
          <w:p w14:paraId="7E32BD3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实际完成情况　</w:t>
            </w:r>
          </w:p>
        </w:tc>
      </w:tr>
      <w:tr w14:paraId="1ACED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940" w:type="dxa"/>
            <w:vMerge w:val="continue"/>
            <w:noWrap w:val="0"/>
            <w:vAlign w:val="center"/>
          </w:tcPr>
          <w:p w14:paraId="77957C96">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5204" w:type="dxa"/>
            <w:gridSpan w:val="4"/>
            <w:noWrap w:val="0"/>
            <w:vAlign w:val="center"/>
          </w:tcPr>
          <w:p w14:paraId="1B002598">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 w:hAnsi="仿宋" w:eastAsia="仿宋" w:cs="仿宋"/>
                <w:color w:val="000000"/>
                <w:kern w:val="0"/>
                <w:sz w:val="13"/>
                <w:szCs w:val="13"/>
              </w:rPr>
            </w:pPr>
            <w:r>
              <w:rPr>
                <w:rFonts w:hint="eastAsia" w:ascii="仿宋" w:hAnsi="仿宋" w:eastAsia="仿宋" w:cs="仿宋"/>
                <w:sz w:val="13"/>
                <w:szCs w:val="13"/>
                <w:lang w:eastAsia="zh-CN"/>
              </w:rPr>
              <w:t>依据项目预算批复和概算批复的要求，完成学生公寓、综合教学实训楼、第二食堂、学生创新创业服务中心、现代物流实习实训基地、综合教学实训工厂、后勤及附属用房、配套设施等的建设。</w:t>
            </w:r>
            <w:r>
              <w:rPr>
                <w:rFonts w:hint="eastAsia" w:ascii="仿宋" w:hAnsi="仿宋" w:eastAsia="仿宋" w:cs="仿宋"/>
                <w:color w:val="000000"/>
                <w:kern w:val="0"/>
                <w:sz w:val="13"/>
                <w:szCs w:val="13"/>
              </w:rPr>
              <w:t>　　</w:t>
            </w:r>
          </w:p>
        </w:tc>
        <w:tc>
          <w:tcPr>
            <w:tcW w:w="3707" w:type="dxa"/>
            <w:gridSpan w:val="4"/>
            <w:noWrap w:val="0"/>
            <w:vAlign w:val="center"/>
          </w:tcPr>
          <w:p w14:paraId="31A2DD98">
            <w:pPr>
              <w:pStyle w:val="14"/>
              <w:numPr>
                <w:ilvl w:val="0"/>
                <w:numId w:val="0"/>
              </w:numPr>
              <w:spacing w:line="280" w:lineRule="exact"/>
              <w:rPr>
                <w:rFonts w:ascii="仿宋" w:hAnsi="仿宋" w:eastAsia="仿宋" w:cs="仿宋"/>
                <w:sz w:val="13"/>
                <w:szCs w:val="13"/>
                <w:lang w:eastAsia="zh-CN"/>
              </w:rPr>
            </w:pPr>
            <w:r>
              <w:rPr>
                <w:rFonts w:hint="eastAsia" w:ascii="仿宋" w:hAnsi="仿宋" w:eastAsia="仿宋" w:cs="仿宋"/>
                <w:sz w:val="13"/>
                <w:szCs w:val="13"/>
                <w:lang w:val="en-US" w:eastAsia="zh-CN"/>
              </w:rPr>
              <w:t>1.</w:t>
            </w:r>
            <w:r>
              <w:rPr>
                <w:rFonts w:hint="eastAsia" w:ascii="仿宋" w:hAnsi="仿宋" w:eastAsia="仿宋" w:cs="仿宋"/>
                <w:sz w:val="13"/>
                <w:szCs w:val="13"/>
                <w:lang w:eastAsia="zh-CN"/>
              </w:rPr>
              <w:t>第二食堂及</w:t>
            </w:r>
            <w:r>
              <w:rPr>
                <w:rFonts w:ascii="仿宋" w:hAnsi="仿宋" w:eastAsia="仿宋" w:cs="仿宋"/>
                <w:sz w:val="13"/>
                <w:szCs w:val="13"/>
                <w:lang w:eastAsia="zh-CN"/>
              </w:rPr>
              <w:t>3</w:t>
            </w:r>
            <w:r>
              <w:rPr>
                <w:rFonts w:hint="eastAsia" w:ascii="仿宋" w:hAnsi="仿宋" w:eastAsia="仿宋" w:cs="仿宋"/>
                <w:sz w:val="13"/>
                <w:szCs w:val="13"/>
                <w:lang w:eastAsia="zh-CN"/>
              </w:rPr>
              <w:t>栋学生宿舍整体已于</w:t>
            </w:r>
            <w:r>
              <w:rPr>
                <w:rFonts w:ascii="仿宋" w:hAnsi="仿宋" w:eastAsia="仿宋" w:cs="仿宋"/>
                <w:sz w:val="13"/>
                <w:szCs w:val="13"/>
                <w:lang w:eastAsia="zh-CN"/>
              </w:rPr>
              <w:t>2023</w:t>
            </w:r>
            <w:r>
              <w:rPr>
                <w:rFonts w:hint="eastAsia" w:ascii="仿宋" w:hAnsi="仿宋" w:eastAsia="仿宋" w:cs="仿宋"/>
                <w:sz w:val="13"/>
                <w:szCs w:val="13"/>
                <w:lang w:eastAsia="zh-CN"/>
              </w:rPr>
              <w:t>年</w:t>
            </w:r>
            <w:r>
              <w:rPr>
                <w:rFonts w:ascii="仿宋" w:hAnsi="仿宋" w:eastAsia="仿宋" w:cs="仿宋"/>
                <w:sz w:val="13"/>
                <w:szCs w:val="13"/>
                <w:lang w:eastAsia="zh-CN"/>
              </w:rPr>
              <w:t>6</w:t>
            </w:r>
            <w:r>
              <w:rPr>
                <w:rFonts w:hint="eastAsia" w:ascii="仿宋" w:hAnsi="仿宋" w:eastAsia="仿宋" w:cs="仿宋"/>
                <w:sz w:val="13"/>
                <w:szCs w:val="13"/>
                <w:lang w:eastAsia="zh-CN"/>
              </w:rPr>
              <w:t>月完成竣工验收，已投入使用。</w:t>
            </w:r>
          </w:p>
          <w:p w14:paraId="1D6FE995">
            <w:pPr>
              <w:pStyle w:val="14"/>
              <w:numPr>
                <w:ilvl w:val="0"/>
                <w:numId w:val="0"/>
              </w:numPr>
              <w:spacing w:line="280" w:lineRule="exact"/>
              <w:rPr>
                <w:rFonts w:hint="eastAsia" w:ascii="仿宋" w:hAnsi="仿宋" w:eastAsia="仿宋" w:cs="仿宋"/>
                <w:sz w:val="13"/>
                <w:szCs w:val="13"/>
                <w:lang w:eastAsia="zh-CN"/>
              </w:rPr>
            </w:pPr>
            <w:r>
              <w:rPr>
                <w:rFonts w:hint="eastAsia" w:ascii="仿宋" w:hAnsi="仿宋" w:eastAsia="仿宋" w:cs="仿宋"/>
                <w:sz w:val="13"/>
                <w:szCs w:val="13"/>
                <w:lang w:val="en-US" w:eastAsia="zh-CN"/>
              </w:rPr>
              <w:t>2.</w:t>
            </w:r>
            <w:r>
              <w:rPr>
                <w:rFonts w:hint="eastAsia" w:ascii="仿宋" w:hAnsi="仿宋" w:eastAsia="仿宋" w:cs="仿宋"/>
                <w:sz w:val="13"/>
                <w:szCs w:val="13"/>
                <w:lang w:eastAsia="zh-CN"/>
              </w:rPr>
              <w:t>综合教学实训楼（1#）、创新创业服务中心（2#）、后勤及附属用房（3#）</w:t>
            </w:r>
            <w:r>
              <w:rPr>
                <w:rFonts w:hint="eastAsia" w:ascii="仿宋" w:hAnsi="仿宋" w:eastAsia="仿宋" w:cs="仿宋"/>
                <w:sz w:val="13"/>
                <w:szCs w:val="13"/>
                <w:lang w:val="en-US" w:eastAsia="zh-CN"/>
              </w:rPr>
              <w:t>2023年12月</w:t>
            </w:r>
            <w:r>
              <w:rPr>
                <w:rFonts w:hint="eastAsia" w:ascii="仿宋" w:hAnsi="仿宋" w:eastAsia="仿宋" w:cs="仿宋"/>
                <w:sz w:val="13"/>
                <w:szCs w:val="13"/>
                <w:lang w:eastAsia="zh-CN"/>
              </w:rPr>
              <w:t>主体工程已全面完工。</w:t>
            </w:r>
          </w:p>
          <w:p w14:paraId="120F4E1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13"/>
                <w:szCs w:val="13"/>
              </w:rPr>
            </w:pPr>
            <w:r>
              <w:rPr>
                <w:rFonts w:hint="eastAsia" w:ascii="仿宋" w:hAnsi="仿宋" w:eastAsia="仿宋" w:cs="仿宋"/>
                <w:sz w:val="13"/>
                <w:szCs w:val="13"/>
                <w:lang w:val="en-US" w:eastAsia="zh-CN"/>
              </w:rPr>
              <w:t>3.</w:t>
            </w:r>
            <w:r>
              <w:rPr>
                <w:rFonts w:hint="eastAsia" w:ascii="仿宋" w:hAnsi="仿宋" w:eastAsia="仿宋" w:cs="仿宋"/>
                <w:sz w:val="13"/>
                <w:szCs w:val="13"/>
                <w:lang w:eastAsia="zh-CN"/>
              </w:rPr>
              <w:t>综合教学实训工厂（</w:t>
            </w:r>
            <w:r>
              <w:rPr>
                <w:rFonts w:ascii="仿宋" w:hAnsi="仿宋" w:eastAsia="仿宋" w:cs="仿宋"/>
                <w:sz w:val="13"/>
                <w:szCs w:val="13"/>
                <w:lang w:eastAsia="zh-CN"/>
              </w:rPr>
              <w:t>8#</w:t>
            </w:r>
            <w:r>
              <w:rPr>
                <w:rFonts w:hint="eastAsia" w:ascii="仿宋" w:hAnsi="仿宋" w:eastAsia="仿宋" w:cs="仿宋"/>
                <w:sz w:val="13"/>
                <w:szCs w:val="13"/>
                <w:lang w:eastAsia="zh-CN"/>
              </w:rPr>
              <w:t>）、现代物流实习基地（</w:t>
            </w:r>
            <w:r>
              <w:rPr>
                <w:rFonts w:ascii="仿宋" w:hAnsi="仿宋" w:eastAsia="仿宋" w:cs="仿宋"/>
                <w:sz w:val="13"/>
                <w:szCs w:val="13"/>
                <w:lang w:eastAsia="zh-CN"/>
              </w:rPr>
              <w:t>9#</w:t>
            </w:r>
            <w:r>
              <w:rPr>
                <w:rFonts w:hint="eastAsia" w:ascii="仿宋" w:hAnsi="仿宋" w:eastAsia="仿宋" w:cs="仿宋"/>
                <w:sz w:val="13"/>
                <w:szCs w:val="13"/>
                <w:lang w:eastAsia="zh-CN"/>
              </w:rPr>
              <w:t>）因驾校原因暂未修建。</w:t>
            </w:r>
          </w:p>
        </w:tc>
      </w:tr>
      <w:tr w14:paraId="07C09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40" w:type="dxa"/>
            <w:vMerge w:val="restart"/>
            <w:noWrap w:val="0"/>
            <w:vAlign w:val="center"/>
          </w:tcPr>
          <w:p w14:paraId="3082468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绩</w:t>
            </w:r>
          </w:p>
          <w:p w14:paraId="2C3DE77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w:t>
            </w:r>
          </w:p>
          <w:p w14:paraId="099853A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w:t>
            </w:r>
          </w:p>
          <w:p w14:paraId="093AEE36">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标</w:t>
            </w:r>
          </w:p>
        </w:tc>
        <w:tc>
          <w:tcPr>
            <w:tcW w:w="1220" w:type="dxa"/>
            <w:noWrap w:val="0"/>
            <w:vAlign w:val="center"/>
          </w:tcPr>
          <w:p w14:paraId="4ECD671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一级指标</w:t>
            </w:r>
          </w:p>
        </w:tc>
        <w:tc>
          <w:tcPr>
            <w:tcW w:w="1226" w:type="dxa"/>
            <w:noWrap w:val="0"/>
            <w:vAlign w:val="center"/>
          </w:tcPr>
          <w:p w14:paraId="00C83C53">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二级指标</w:t>
            </w:r>
          </w:p>
        </w:tc>
        <w:tc>
          <w:tcPr>
            <w:tcW w:w="1661" w:type="dxa"/>
            <w:noWrap w:val="0"/>
            <w:vAlign w:val="center"/>
          </w:tcPr>
          <w:p w14:paraId="3E90E71D">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三级指标</w:t>
            </w:r>
          </w:p>
        </w:tc>
        <w:tc>
          <w:tcPr>
            <w:tcW w:w="1097" w:type="dxa"/>
            <w:noWrap w:val="0"/>
            <w:vAlign w:val="center"/>
          </w:tcPr>
          <w:p w14:paraId="28F5B41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年度</w:t>
            </w:r>
          </w:p>
          <w:p w14:paraId="555FC0D2">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指标值</w:t>
            </w:r>
          </w:p>
        </w:tc>
        <w:tc>
          <w:tcPr>
            <w:tcW w:w="1142" w:type="dxa"/>
            <w:noWrap w:val="0"/>
            <w:vAlign w:val="center"/>
          </w:tcPr>
          <w:p w14:paraId="110691C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实际</w:t>
            </w:r>
          </w:p>
          <w:p w14:paraId="00D8BED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完成值</w:t>
            </w:r>
          </w:p>
        </w:tc>
        <w:tc>
          <w:tcPr>
            <w:tcW w:w="738" w:type="dxa"/>
            <w:noWrap w:val="0"/>
            <w:vAlign w:val="center"/>
          </w:tcPr>
          <w:p w14:paraId="307492E0">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分值</w:t>
            </w:r>
          </w:p>
        </w:tc>
        <w:tc>
          <w:tcPr>
            <w:tcW w:w="808" w:type="dxa"/>
            <w:noWrap w:val="0"/>
            <w:vAlign w:val="center"/>
          </w:tcPr>
          <w:p w14:paraId="77E41DC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得分</w:t>
            </w:r>
          </w:p>
        </w:tc>
        <w:tc>
          <w:tcPr>
            <w:tcW w:w="1019" w:type="dxa"/>
            <w:noWrap w:val="0"/>
            <w:vAlign w:val="center"/>
          </w:tcPr>
          <w:p w14:paraId="088161A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偏差原因</w:t>
            </w:r>
          </w:p>
          <w:p w14:paraId="7605017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分析及</w:t>
            </w:r>
          </w:p>
          <w:p w14:paraId="2EE6EA3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改进措施</w:t>
            </w:r>
          </w:p>
        </w:tc>
      </w:tr>
      <w:tr w14:paraId="56F64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0" w:type="dxa"/>
            <w:vMerge w:val="continue"/>
            <w:noWrap w:val="0"/>
            <w:vAlign w:val="center"/>
          </w:tcPr>
          <w:p w14:paraId="30B493F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20" w:type="dxa"/>
            <w:vMerge w:val="restart"/>
            <w:noWrap w:val="0"/>
            <w:vAlign w:val="center"/>
          </w:tcPr>
          <w:p w14:paraId="178966E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产出指标</w:t>
            </w:r>
          </w:p>
          <w:p w14:paraId="512D3E1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lang w:eastAsia="zh-CN"/>
              </w:rPr>
            </w:pPr>
            <w:r>
              <w:rPr>
                <w:rFonts w:hint="eastAsia" w:ascii="仿宋" w:hAnsi="仿宋" w:eastAsia="仿宋" w:cs="仿宋"/>
                <w:color w:val="000000"/>
                <w:kern w:val="0"/>
                <w:sz w:val="20"/>
                <w:szCs w:val="20"/>
                <w:lang w:eastAsia="zh-CN"/>
              </w:rPr>
              <w:t>（</w:t>
            </w:r>
            <w:r>
              <w:rPr>
                <w:rFonts w:hint="eastAsia" w:ascii="仿宋" w:hAnsi="仿宋" w:eastAsia="仿宋" w:cs="仿宋"/>
                <w:color w:val="000000"/>
                <w:kern w:val="0"/>
                <w:sz w:val="20"/>
                <w:szCs w:val="20"/>
              </w:rPr>
              <w:t>50分</w:t>
            </w:r>
            <w:r>
              <w:rPr>
                <w:rFonts w:hint="eastAsia" w:ascii="仿宋" w:hAnsi="仿宋" w:eastAsia="仿宋" w:cs="仿宋"/>
                <w:color w:val="000000"/>
                <w:kern w:val="0"/>
                <w:sz w:val="20"/>
                <w:szCs w:val="20"/>
                <w:lang w:eastAsia="zh-CN"/>
              </w:rPr>
              <w:t>）</w:t>
            </w:r>
          </w:p>
        </w:tc>
        <w:tc>
          <w:tcPr>
            <w:tcW w:w="1226" w:type="dxa"/>
            <w:vMerge w:val="restart"/>
            <w:noWrap w:val="0"/>
            <w:vAlign w:val="center"/>
          </w:tcPr>
          <w:p w14:paraId="29C1A798">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数量指标</w:t>
            </w:r>
          </w:p>
        </w:tc>
        <w:tc>
          <w:tcPr>
            <w:tcW w:w="1661" w:type="dxa"/>
            <w:shd w:val="clear" w:color="auto" w:fill="auto"/>
            <w:noWrap w:val="0"/>
            <w:vAlign w:val="center"/>
          </w:tcPr>
          <w:p w14:paraId="4690A6B0">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满足</w:t>
            </w:r>
            <w:r>
              <w:rPr>
                <w:rFonts w:hint="eastAsia" w:ascii="仿宋" w:hAnsi="仿宋" w:eastAsia="仿宋" w:cs="仿宋"/>
                <w:sz w:val="16"/>
                <w:szCs w:val="16"/>
                <w:highlight w:val="none"/>
              </w:rPr>
              <w:t>入住学生</w:t>
            </w:r>
            <w:r>
              <w:rPr>
                <w:rFonts w:hint="eastAsia" w:ascii="仿宋" w:hAnsi="仿宋" w:eastAsia="仿宋" w:cs="仿宋"/>
                <w:sz w:val="16"/>
                <w:szCs w:val="16"/>
                <w:highlight w:val="none"/>
                <w:lang w:eastAsia="zh-CN"/>
              </w:rPr>
              <w:t>数</w:t>
            </w:r>
          </w:p>
        </w:tc>
        <w:tc>
          <w:tcPr>
            <w:tcW w:w="1097" w:type="dxa"/>
            <w:shd w:val="clear" w:color="auto" w:fill="auto"/>
            <w:noWrap w:val="0"/>
            <w:vAlign w:val="center"/>
          </w:tcPr>
          <w:p w14:paraId="6F804776">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rPr>
              <w:t>　</w:t>
            </w:r>
            <w:r>
              <w:rPr>
                <w:rFonts w:hint="eastAsia" w:ascii="仿宋" w:hAnsi="仿宋" w:eastAsia="仿宋" w:cs="仿宋"/>
                <w:sz w:val="16"/>
                <w:szCs w:val="16"/>
                <w:highlight w:val="none"/>
                <w:lang w:eastAsia="zh-CN"/>
              </w:rPr>
              <w:t>3000人</w:t>
            </w:r>
          </w:p>
        </w:tc>
        <w:tc>
          <w:tcPr>
            <w:tcW w:w="1142" w:type="dxa"/>
            <w:shd w:val="clear" w:color="auto" w:fill="auto"/>
            <w:noWrap w:val="0"/>
            <w:vAlign w:val="center"/>
          </w:tcPr>
          <w:p w14:paraId="3D3236B1">
            <w:pPr>
              <w:spacing w:line="280" w:lineRule="exact"/>
              <w:ind w:firstLine="160" w:firstLineChars="100"/>
              <w:rPr>
                <w:rFonts w:hint="eastAsia" w:ascii="仿宋" w:hAnsi="仿宋" w:eastAsia="仿宋" w:cs="仿宋"/>
                <w:snapToGrid w:val="0"/>
                <w:color w:val="000000"/>
                <w:sz w:val="16"/>
                <w:szCs w:val="16"/>
                <w:highlight w:val="none"/>
                <w:lang w:val="en-US" w:eastAsia="en-US" w:bidi="ar-SA"/>
              </w:rPr>
            </w:pPr>
            <w:r>
              <w:rPr>
                <w:rFonts w:ascii="仿宋" w:hAnsi="仿宋" w:eastAsia="仿宋" w:cs="仿宋"/>
                <w:sz w:val="16"/>
                <w:szCs w:val="16"/>
                <w:highlight w:val="none"/>
              </w:rPr>
              <w:t>3024</w:t>
            </w:r>
            <w:r>
              <w:rPr>
                <w:rFonts w:hint="eastAsia" w:ascii="仿宋" w:hAnsi="仿宋" w:eastAsia="仿宋" w:cs="仿宋"/>
                <w:sz w:val="16"/>
                <w:szCs w:val="16"/>
                <w:highlight w:val="none"/>
              </w:rPr>
              <w:t>人</w:t>
            </w:r>
          </w:p>
        </w:tc>
        <w:tc>
          <w:tcPr>
            <w:tcW w:w="738" w:type="dxa"/>
            <w:shd w:val="clear" w:color="auto" w:fill="auto"/>
            <w:noWrap w:val="0"/>
            <w:vAlign w:val="center"/>
          </w:tcPr>
          <w:p w14:paraId="47CBA3A5">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rPr>
              <w:t>　</w:t>
            </w:r>
            <w:r>
              <w:rPr>
                <w:rFonts w:hint="eastAsia" w:ascii="仿宋" w:hAnsi="仿宋" w:eastAsia="仿宋" w:cs="仿宋"/>
                <w:sz w:val="16"/>
                <w:szCs w:val="16"/>
                <w:highlight w:val="none"/>
                <w:lang w:eastAsia="zh-CN"/>
              </w:rPr>
              <w:t>10</w:t>
            </w:r>
          </w:p>
        </w:tc>
        <w:tc>
          <w:tcPr>
            <w:tcW w:w="808" w:type="dxa"/>
            <w:shd w:val="clear" w:color="auto" w:fill="auto"/>
            <w:noWrap w:val="0"/>
            <w:vAlign w:val="center"/>
          </w:tcPr>
          <w:p w14:paraId="1DD29959">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rPr>
              <w:t>　</w:t>
            </w:r>
            <w:r>
              <w:rPr>
                <w:rFonts w:hint="eastAsia" w:ascii="仿宋" w:hAnsi="仿宋" w:eastAsia="仿宋" w:cs="仿宋"/>
                <w:sz w:val="16"/>
                <w:szCs w:val="16"/>
                <w:highlight w:val="none"/>
                <w:lang w:eastAsia="zh-CN"/>
              </w:rPr>
              <w:t>10</w:t>
            </w:r>
          </w:p>
        </w:tc>
        <w:tc>
          <w:tcPr>
            <w:tcW w:w="1019" w:type="dxa"/>
            <w:noWrap w:val="0"/>
            <w:vAlign w:val="center"/>
          </w:tcPr>
          <w:p w14:paraId="58A2625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24B5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0" w:type="dxa"/>
            <w:vMerge w:val="continue"/>
            <w:noWrap w:val="0"/>
            <w:vAlign w:val="center"/>
          </w:tcPr>
          <w:p w14:paraId="2DABBCA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20" w:type="dxa"/>
            <w:vMerge w:val="continue"/>
            <w:noWrap w:val="0"/>
            <w:vAlign w:val="center"/>
          </w:tcPr>
          <w:p w14:paraId="50B9376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26" w:type="dxa"/>
            <w:vMerge w:val="continue"/>
            <w:noWrap w:val="0"/>
            <w:vAlign w:val="center"/>
          </w:tcPr>
          <w:p w14:paraId="6E1184DA">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661" w:type="dxa"/>
            <w:shd w:val="clear" w:color="auto" w:fill="auto"/>
            <w:noWrap w:val="0"/>
            <w:vAlign w:val="center"/>
          </w:tcPr>
          <w:p w14:paraId="618F7009">
            <w:pPr>
              <w:spacing w:line="280" w:lineRule="exact"/>
              <w:rPr>
                <w:rFonts w:hint="eastAsia" w:ascii="仿宋" w:hAnsi="仿宋" w:eastAsia="仿宋" w:cs="仿宋"/>
                <w:snapToGrid w:val="0"/>
                <w:color w:val="000000"/>
                <w:sz w:val="16"/>
                <w:szCs w:val="16"/>
                <w:highlight w:val="none"/>
                <w:lang w:val="en-US" w:eastAsia="zh-CN" w:bidi="ar-SA"/>
              </w:rPr>
            </w:pPr>
            <w:r>
              <w:rPr>
                <w:rFonts w:hint="eastAsia" w:ascii="仿宋" w:hAnsi="仿宋" w:eastAsia="仿宋" w:cs="仿宋"/>
                <w:sz w:val="16"/>
                <w:szCs w:val="16"/>
                <w:highlight w:val="none"/>
                <w:lang w:eastAsia="zh-CN"/>
              </w:rPr>
              <w:t>满足就餐人数</w:t>
            </w:r>
          </w:p>
        </w:tc>
        <w:tc>
          <w:tcPr>
            <w:tcW w:w="1097" w:type="dxa"/>
            <w:shd w:val="clear" w:color="auto" w:fill="auto"/>
            <w:noWrap w:val="0"/>
            <w:vAlign w:val="center"/>
          </w:tcPr>
          <w:p w14:paraId="2AEFCF70">
            <w:pPr>
              <w:spacing w:line="280" w:lineRule="exact"/>
              <w:ind w:firstLine="160" w:firstLineChars="100"/>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4000人</w:t>
            </w:r>
          </w:p>
        </w:tc>
        <w:tc>
          <w:tcPr>
            <w:tcW w:w="1142" w:type="dxa"/>
            <w:shd w:val="clear" w:color="auto" w:fill="auto"/>
            <w:noWrap w:val="0"/>
            <w:vAlign w:val="center"/>
          </w:tcPr>
          <w:p w14:paraId="6098D4CF">
            <w:pPr>
              <w:spacing w:line="280" w:lineRule="exact"/>
              <w:ind w:firstLine="160" w:firstLineChars="100"/>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4000人</w:t>
            </w:r>
          </w:p>
        </w:tc>
        <w:tc>
          <w:tcPr>
            <w:tcW w:w="738" w:type="dxa"/>
            <w:shd w:val="clear" w:color="auto" w:fill="auto"/>
            <w:noWrap w:val="0"/>
            <w:vAlign w:val="center"/>
          </w:tcPr>
          <w:p w14:paraId="33DB533F">
            <w:pPr>
              <w:spacing w:line="280" w:lineRule="exact"/>
              <w:ind w:firstLine="160" w:firstLineChars="100"/>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10</w:t>
            </w:r>
          </w:p>
        </w:tc>
        <w:tc>
          <w:tcPr>
            <w:tcW w:w="808" w:type="dxa"/>
            <w:shd w:val="clear" w:color="auto" w:fill="auto"/>
            <w:noWrap w:val="0"/>
            <w:vAlign w:val="center"/>
          </w:tcPr>
          <w:p w14:paraId="7CC55A9A">
            <w:pPr>
              <w:spacing w:line="280" w:lineRule="exact"/>
              <w:rPr>
                <w:rFonts w:hint="eastAsia" w:ascii="仿宋" w:hAnsi="仿宋" w:eastAsia="仿宋" w:cs="仿宋"/>
                <w:snapToGrid w:val="0"/>
                <w:color w:val="000000"/>
                <w:sz w:val="16"/>
                <w:szCs w:val="16"/>
                <w:highlight w:val="none"/>
                <w:lang w:val="en-US" w:eastAsia="zh-CN" w:bidi="ar-SA"/>
              </w:rPr>
            </w:pPr>
            <w:r>
              <w:rPr>
                <w:rFonts w:hint="eastAsia" w:ascii="仿宋" w:hAnsi="仿宋" w:eastAsia="仿宋" w:cs="仿宋"/>
                <w:sz w:val="16"/>
                <w:szCs w:val="16"/>
                <w:highlight w:val="none"/>
                <w:lang w:eastAsia="zh-CN"/>
              </w:rPr>
              <w:t xml:space="preserve">  10</w:t>
            </w:r>
          </w:p>
        </w:tc>
        <w:tc>
          <w:tcPr>
            <w:tcW w:w="1019" w:type="dxa"/>
            <w:noWrap w:val="0"/>
            <w:vAlign w:val="center"/>
          </w:tcPr>
          <w:p w14:paraId="1C3ECE12">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3EB6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0" w:type="dxa"/>
            <w:vMerge w:val="continue"/>
            <w:noWrap w:val="0"/>
            <w:vAlign w:val="center"/>
          </w:tcPr>
          <w:p w14:paraId="7C54DA3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20" w:type="dxa"/>
            <w:vMerge w:val="continue"/>
            <w:noWrap w:val="0"/>
            <w:vAlign w:val="center"/>
          </w:tcPr>
          <w:p w14:paraId="555A3E9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26" w:type="dxa"/>
            <w:noWrap w:val="0"/>
            <w:vAlign w:val="center"/>
          </w:tcPr>
          <w:p w14:paraId="23E7A84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质量指标</w:t>
            </w:r>
          </w:p>
        </w:tc>
        <w:tc>
          <w:tcPr>
            <w:tcW w:w="1661" w:type="dxa"/>
            <w:shd w:val="clear" w:color="auto" w:fill="auto"/>
            <w:noWrap w:val="0"/>
            <w:vAlign w:val="center"/>
          </w:tcPr>
          <w:p w14:paraId="0FC66D0B">
            <w:pPr>
              <w:spacing w:line="280" w:lineRule="exact"/>
              <w:rPr>
                <w:rFonts w:hint="eastAsia" w:ascii="仿宋" w:hAnsi="仿宋" w:eastAsia="仿宋" w:cs="仿宋"/>
                <w:snapToGrid w:val="0"/>
                <w:color w:val="000000"/>
                <w:sz w:val="16"/>
                <w:szCs w:val="16"/>
                <w:highlight w:val="none"/>
                <w:lang w:val="en-US" w:eastAsia="zh-CN" w:bidi="ar-SA"/>
              </w:rPr>
            </w:pPr>
            <w:r>
              <w:rPr>
                <w:rFonts w:hint="eastAsia" w:ascii="仿宋" w:hAnsi="仿宋" w:eastAsia="仿宋" w:cs="仿宋"/>
                <w:sz w:val="16"/>
                <w:szCs w:val="16"/>
                <w:highlight w:val="none"/>
                <w:lang w:eastAsia="zh-CN"/>
              </w:rPr>
              <w:t>工程验收合格率</w:t>
            </w:r>
          </w:p>
        </w:tc>
        <w:tc>
          <w:tcPr>
            <w:tcW w:w="1097" w:type="dxa"/>
            <w:shd w:val="clear" w:color="auto" w:fill="auto"/>
            <w:noWrap w:val="0"/>
            <w:vAlign w:val="center"/>
          </w:tcPr>
          <w:p w14:paraId="11D46E24">
            <w:pPr>
              <w:spacing w:line="280" w:lineRule="exact"/>
              <w:ind w:firstLine="160" w:firstLineChars="100"/>
              <w:rPr>
                <w:rFonts w:hint="eastAsia" w:ascii="仿宋" w:hAnsi="仿宋" w:eastAsia="仿宋" w:cs="仿宋"/>
                <w:snapToGrid w:val="0"/>
                <w:color w:val="000000"/>
                <w:sz w:val="16"/>
                <w:szCs w:val="16"/>
                <w:highlight w:val="none"/>
                <w:lang w:val="en-US" w:eastAsia="zh-CN" w:bidi="ar-SA"/>
              </w:rPr>
            </w:pPr>
            <w:r>
              <w:rPr>
                <w:rFonts w:hint="eastAsia" w:ascii="仿宋" w:hAnsi="仿宋" w:eastAsia="仿宋" w:cs="仿宋"/>
                <w:sz w:val="16"/>
                <w:szCs w:val="16"/>
                <w:highlight w:val="none"/>
                <w:lang w:eastAsia="zh-CN"/>
              </w:rPr>
              <w:t>合格</w:t>
            </w:r>
          </w:p>
        </w:tc>
        <w:tc>
          <w:tcPr>
            <w:tcW w:w="1142" w:type="dxa"/>
            <w:shd w:val="clear" w:color="auto" w:fill="auto"/>
            <w:noWrap w:val="0"/>
            <w:vAlign w:val="center"/>
          </w:tcPr>
          <w:p w14:paraId="4B01A0F9">
            <w:pPr>
              <w:spacing w:line="280" w:lineRule="exact"/>
              <w:ind w:firstLine="160" w:firstLineChars="100"/>
              <w:rPr>
                <w:rFonts w:hint="eastAsia" w:ascii="仿宋" w:hAnsi="仿宋" w:eastAsia="仿宋" w:cs="仿宋"/>
                <w:snapToGrid w:val="0"/>
                <w:color w:val="000000"/>
                <w:sz w:val="16"/>
                <w:szCs w:val="16"/>
                <w:highlight w:val="none"/>
                <w:lang w:val="en-US" w:eastAsia="zh-CN" w:bidi="ar-SA"/>
              </w:rPr>
            </w:pPr>
            <w:r>
              <w:rPr>
                <w:rFonts w:hint="eastAsia" w:ascii="仿宋" w:hAnsi="仿宋" w:eastAsia="仿宋" w:cs="仿宋"/>
                <w:sz w:val="16"/>
                <w:szCs w:val="16"/>
                <w:highlight w:val="none"/>
                <w:lang w:eastAsia="zh-CN"/>
              </w:rPr>
              <w:t>合格</w:t>
            </w:r>
          </w:p>
        </w:tc>
        <w:tc>
          <w:tcPr>
            <w:tcW w:w="738" w:type="dxa"/>
            <w:noWrap w:val="0"/>
            <w:vAlign w:val="center"/>
          </w:tcPr>
          <w:p w14:paraId="7ABA34B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highlight w:val="none"/>
                <w:lang w:val="en-US" w:eastAsia="zh-CN"/>
              </w:rPr>
            </w:pPr>
            <w:r>
              <w:rPr>
                <w:rFonts w:hint="eastAsia" w:ascii="仿宋" w:hAnsi="仿宋" w:eastAsia="仿宋" w:cs="仿宋"/>
                <w:sz w:val="16"/>
                <w:szCs w:val="16"/>
                <w:highlight w:val="none"/>
                <w:lang w:eastAsia="zh-CN"/>
              </w:rPr>
              <w:t xml:space="preserve"> </w:t>
            </w:r>
            <w:r>
              <w:rPr>
                <w:rFonts w:hint="eastAsia" w:ascii="仿宋" w:hAnsi="仿宋" w:eastAsia="仿宋" w:cs="仿宋"/>
                <w:sz w:val="16"/>
                <w:szCs w:val="16"/>
                <w:highlight w:val="none"/>
                <w:lang w:val="en-US" w:eastAsia="zh-CN"/>
              </w:rPr>
              <w:t xml:space="preserve"> </w:t>
            </w:r>
            <w:r>
              <w:rPr>
                <w:rFonts w:hint="eastAsia" w:ascii="仿宋" w:hAnsi="仿宋" w:eastAsia="仿宋" w:cs="仿宋"/>
                <w:sz w:val="16"/>
                <w:szCs w:val="16"/>
                <w:highlight w:val="none"/>
                <w:lang w:eastAsia="zh-CN"/>
              </w:rPr>
              <w:t>10</w:t>
            </w:r>
          </w:p>
        </w:tc>
        <w:tc>
          <w:tcPr>
            <w:tcW w:w="808" w:type="dxa"/>
            <w:noWrap w:val="0"/>
            <w:vAlign w:val="center"/>
          </w:tcPr>
          <w:p w14:paraId="747EC77E">
            <w:pPr>
              <w:keepNext w:val="0"/>
              <w:keepLines w:val="0"/>
              <w:pageBreakBefore w:val="0"/>
              <w:widowControl/>
              <w:kinsoku/>
              <w:wordWrap/>
              <w:overflowPunct/>
              <w:topLinePunct w:val="0"/>
              <w:autoSpaceDE/>
              <w:autoSpaceDN/>
              <w:bidi w:val="0"/>
              <w:adjustRightInd/>
              <w:snapToGrid/>
              <w:spacing w:line="280" w:lineRule="exact"/>
              <w:ind w:firstLine="160" w:firstLineChars="100"/>
              <w:jc w:val="left"/>
              <w:textAlignment w:val="auto"/>
              <w:rPr>
                <w:rFonts w:hint="eastAsia" w:ascii="仿宋" w:hAnsi="仿宋" w:eastAsia="仿宋" w:cs="仿宋"/>
                <w:color w:val="000000"/>
                <w:kern w:val="0"/>
                <w:sz w:val="20"/>
                <w:szCs w:val="20"/>
                <w:highlight w:val="none"/>
              </w:rPr>
            </w:pPr>
            <w:r>
              <w:rPr>
                <w:rFonts w:hint="eastAsia" w:ascii="仿宋" w:hAnsi="仿宋" w:eastAsia="仿宋" w:cs="仿宋"/>
                <w:sz w:val="16"/>
                <w:szCs w:val="16"/>
                <w:highlight w:val="none"/>
                <w:lang w:eastAsia="zh-CN"/>
              </w:rPr>
              <w:t>10</w:t>
            </w:r>
          </w:p>
        </w:tc>
        <w:tc>
          <w:tcPr>
            <w:tcW w:w="1019" w:type="dxa"/>
            <w:noWrap w:val="0"/>
            <w:vAlign w:val="center"/>
          </w:tcPr>
          <w:p w14:paraId="606C3551">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　</w:t>
            </w:r>
          </w:p>
        </w:tc>
      </w:tr>
      <w:tr w14:paraId="573C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40" w:type="dxa"/>
            <w:vMerge w:val="continue"/>
            <w:noWrap w:val="0"/>
            <w:vAlign w:val="center"/>
          </w:tcPr>
          <w:p w14:paraId="3858C99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20" w:type="dxa"/>
            <w:vMerge w:val="continue"/>
            <w:noWrap w:val="0"/>
            <w:vAlign w:val="center"/>
          </w:tcPr>
          <w:p w14:paraId="11FB7A0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26" w:type="dxa"/>
            <w:noWrap w:val="0"/>
            <w:vAlign w:val="center"/>
          </w:tcPr>
          <w:p w14:paraId="0FBB317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时效指标</w:t>
            </w:r>
          </w:p>
        </w:tc>
        <w:tc>
          <w:tcPr>
            <w:tcW w:w="1661" w:type="dxa"/>
            <w:shd w:val="clear" w:color="auto" w:fill="auto"/>
            <w:noWrap w:val="0"/>
            <w:vAlign w:val="center"/>
          </w:tcPr>
          <w:p w14:paraId="5197A3FB">
            <w:pPr>
              <w:spacing w:line="280" w:lineRule="exact"/>
              <w:rPr>
                <w:rFonts w:hint="eastAsia" w:ascii="仿宋" w:hAnsi="仿宋" w:eastAsia="仿宋" w:cs="仿宋"/>
                <w:snapToGrid w:val="0"/>
                <w:color w:val="000000"/>
                <w:sz w:val="16"/>
                <w:szCs w:val="16"/>
                <w:highlight w:val="none"/>
                <w:lang w:val="en-US" w:eastAsia="zh-CN" w:bidi="ar-SA"/>
              </w:rPr>
            </w:pPr>
            <w:r>
              <w:rPr>
                <w:rFonts w:ascii="仿宋" w:hAnsi="仿宋" w:eastAsia="仿宋" w:cs="仿宋"/>
                <w:sz w:val="16"/>
                <w:szCs w:val="16"/>
                <w:highlight w:val="none"/>
                <w:lang w:eastAsia="zh-CN"/>
              </w:rPr>
              <w:t>按项目实施进度按时完成</w:t>
            </w:r>
          </w:p>
        </w:tc>
        <w:tc>
          <w:tcPr>
            <w:tcW w:w="1097" w:type="dxa"/>
            <w:shd w:val="clear" w:color="auto" w:fill="auto"/>
            <w:noWrap w:val="0"/>
            <w:vAlign w:val="center"/>
          </w:tcPr>
          <w:p w14:paraId="23B1CA32">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2023年12月底之前</w:t>
            </w:r>
          </w:p>
        </w:tc>
        <w:tc>
          <w:tcPr>
            <w:tcW w:w="1142" w:type="dxa"/>
            <w:shd w:val="clear" w:color="auto" w:fill="auto"/>
            <w:noWrap w:val="0"/>
            <w:vAlign w:val="center"/>
          </w:tcPr>
          <w:p w14:paraId="775DF39F">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只完成</w:t>
            </w:r>
            <w:r>
              <w:rPr>
                <w:rFonts w:hint="eastAsia" w:ascii="仿宋" w:hAnsi="仿宋" w:eastAsia="仿宋" w:cs="仿宋"/>
                <w:sz w:val="16"/>
                <w:szCs w:val="16"/>
                <w:highlight w:val="none"/>
                <w:lang w:val="en-US" w:eastAsia="zh-CN"/>
              </w:rPr>
              <w:t>7</w:t>
            </w:r>
            <w:r>
              <w:rPr>
                <w:rFonts w:hint="eastAsia" w:ascii="仿宋" w:hAnsi="仿宋" w:eastAsia="仿宋" w:cs="仿宋"/>
                <w:sz w:val="16"/>
                <w:szCs w:val="16"/>
                <w:highlight w:val="none"/>
                <w:lang w:eastAsia="zh-CN"/>
              </w:rPr>
              <w:t>栋楼</w:t>
            </w:r>
          </w:p>
        </w:tc>
        <w:tc>
          <w:tcPr>
            <w:tcW w:w="738" w:type="dxa"/>
            <w:shd w:val="clear" w:color="auto" w:fill="auto"/>
            <w:noWrap w:val="0"/>
            <w:vAlign w:val="center"/>
          </w:tcPr>
          <w:p w14:paraId="5AB29784">
            <w:pPr>
              <w:spacing w:line="280" w:lineRule="exact"/>
              <w:ind w:firstLine="160" w:firstLineChars="100"/>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10</w:t>
            </w:r>
          </w:p>
        </w:tc>
        <w:tc>
          <w:tcPr>
            <w:tcW w:w="808" w:type="dxa"/>
            <w:noWrap w:val="0"/>
            <w:vAlign w:val="center"/>
          </w:tcPr>
          <w:p w14:paraId="33D4184D">
            <w:pPr>
              <w:keepNext w:val="0"/>
              <w:keepLines w:val="0"/>
              <w:pageBreakBefore w:val="0"/>
              <w:widowControl/>
              <w:kinsoku/>
              <w:wordWrap/>
              <w:overflowPunct/>
              <w:topLinePunct w:val="0"/>
              <w:autoSpaceDE/>
              <w:autoSpaceDN/>
              <w:bidi w:val="0"/>
              <w:adjustRightInd/>
              <w:snapToGrid/>
              <w:spacing w:line="280" w:lineRule="exact"/>
              <w:ind w:firstLine="200" w:firstLineChars="100"/>
              <w:jc w:val="left"/>
              <w:textAlignment w:val="auto"/>
              <w:rPr>
                <w:rFonts w:hint="eastAsia" w:ascii="仿宋" w:hAnsi="仿宋" w:eastAsia="仿宋" w:cs="仿宋"/>
                <w:color w:val="000000"/>
                <w:kern w:val="0"/>
                <w:sz w:val="20"/>
                <w:szCs w:val="20"/>
                <w:highlight w:val="none"/>
                <w:lang w:eastAsia="zh-CN"/>
              </w:rPr>
            </w:pPr>
            <w:r>
              <w:rPr>
                <w:rFonts w:hint="eastAsia" w:ascii="仿宋" w:hAnsi="仿宋" w:eastAsia="仿宋" w:cs="仿宋"/>
                <w:color w:val="000000"/>
                <w:kern w:val="0"/>
                <w:sz w:val="20"/>
                <w:szCs w:val="20"/>
                <w:highlight w:val="none"/>
                <w:lang w:val="en-US" w:eastAsia="zh-CN"/>
              </w:rPr>
              <w:t>6</w:t>
            </w:r>
          </w:p>
        </w:tc>
        <w:tc>
          <w:tcPr>
            <w:tcW w:w="1019" w:type="dxa"/>
            <w:noWrap w:val="0"/>
            <w:vAlign w:val="center"/>
          </w:tcPr>
          <w:p w14:paraId="1BEBA790">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highlight w:val="none"/>
              </w:rPr>
            </w:pPr>
            <w:r>
              <w:rPr>
                <w:rFonts w:hint="eastAsia" w:ascii="仿宋" w:hAnsi="仿宋" w:eastAsia="仿宋" w:cs="仿宋"/>
                <w:color w:val="000000"/>
                <w:kern w:val="0"/>
                <w:sz w:val="20"/>
                <w:szCs w:val="20"/>
                <w:highlight w:val="none"/>
              </w:rPr>
              <w:t>　</w:t>
            </w:r>
          </w:p>
        </w:tc>
      </w:tr>
      <w:tr w14:paraId="303E3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0" w:type="dxa"/>
            <w:vMerge w:val="continue"/>
            <w:noWrap w:val="0"/>
            <w:vAlign w:val="center"/>
          </w:tcPr>
          <w:p w14:paraId="26D4A37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20" w:type="dxa"/>
            <w:vMerge w:val="continue"/>
            <w:noWrap w:val="0"/>
            <w:vAlign w:val="center"/>
          </w:tcPr>
          <w:p w14:paraId="09A7D97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26" w:type="dxa"/>
            <w:noWrap w:val="0"/>
            <w:vAlign w:val="center"/>
          </w:tcPr>
          <w:p w14:paraId="59424FD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成本指标</w:t>
            </w:r>
          </w:p>
        </w:tc>
        <w:tc>
          <w:tcPr>
            <w:tcW w:w="1661" w:type="dxa"/>
            <w:shd w:val="clear" w:color="auto" w:fill="auto"/>
            <w:noWrap w:val="0"/>
            <w:vAlign w:val="center"/>
          </w:tcPr>
          <w:p w14:paraId="4B86262C">
            <w:pPr>
              <w:spacing w:line="280" w:lineRule="exact"/>
              <w:rPr>
                <w:rFonts w:hint="eastAsia" w:ascii="仿宋" w:hAnsi="仿宋" w:eastAsia="仿宋" w:cs="仿宋"/>
                <w:snapToGrid w:val="0"/>
                <w:color w:val="000000"/>
                <w:sz w:val="16"/>
                <w:szCs w:val="16"/>
                <w:highlight w:val="none"/>
                <w:lang w:val="en-US" w:eastAsia="zh-CN" w:bidi="ar-SA"/>
              </w:rPr>
            </w:pPr>
            <w:r>
              <w:rPr>
                <w:rFonts w:hint="eastAsia" w:ascii="仿宋" w:hAnsi="仿宋" w:eastAsia="仿宋" w:cs="仿宋"/>
                <w:snapToGrid w:val="0"/>
                <w:color w:val="000000"/>
                <w:sz w:val="16"/>
                <w:szCs w:val="16"/>
                <w:highlight w:val="none"/>
                <w:lang w:val="en-US" w:eastAsia="zh-CN" w:bidi="ar-SA"/>
              </w:rPr>
              <w:t>在项目计划安排支出内执行</w:t>
            </w:r>
          </w:p>
        </w:tc>
        <w:tc>
          <w:tcPr>
            <w:tcW w:w="1097" w:type="dxa"/>
            <w:shd w:val="clear" w:color="auto" w:fill="auto"/>
            <w:noWrap w:val="0"/>
            <w:vAlign w:val="center"/>
          </w:tcPr>
          <w:p w14:paraId="5E7CC413">
            <w:pPr>
              <w:spacing w:line="280" w:lineRule="exact"/>
              <w:rPr>
                <w:rFonts w:hint="eastAsia" w:ascii="仿宋" w:hAnsi="仿宋" w:eastAsia="仿宋" w:cs="仿宋"/>
                <w:snapToGrid w:val="0"/>
                <w:color w:val="000000"/>
                <w:sz w:val="16"/>
                <w:szCs w:val="16"/>
                <w:highlight w:val="none"/>
                <w:lang w:val="en-US" w:eastAsia="zh-CN" w:bidi="ar-SA"/>
              </w:rPr>
            </w:pPr>
            <w:r>
              <w:rPr>
                <w:rFonts w:hint="eastAsia" w:ascii="仿宋" w:hAnsi="仿宋" w:eastAsia="仿宋" w:cs="仿宋"/>
                <w:sz w:val="16"/>
                <w:szCs w:val="16"/>
                <w:highlight w:val="none"/>
                <w:lang w:eastAsia="zh-CN"/>
              </w:rPr>
              <w:t>按要求执行</w:t>
            </w:r>
          </w:p>
        </w:tc>
        <w:tc>
          <w:tcPr>
            <w:tcW w:w="1142" w:type="dxa"/>
            <w:shd w:val="clear" w:color="auto" w:fill="auto"/>
            <w:noWrap w:val="0"/>
            <w:vAlign w:val="center"/>
          </w:tcPr>
          <w:p w14:paraId="3FB8FB91">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按要求执行</w:t>
            </w:r>
          </w:p>
        </w:tc>
        <w:tc>
          <w:tcPr>
            <w:tcW w:w="738" w:type="dxa"/>
            <w:shd w:val="clear" w:color="auto" w:fill="auto"/>
            <w:noWrap w:val="0"/>
            <w:vAlign w:val="center"/>
          </w:tcPr>
          <w:p w14:paraId="157F544E">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rPr>
              <w:t>　</w:t>
            </w:r>
            <w:r>
              <w:rPr>
                <w:rFonts w:hint="eastAsia" w:ascii="仿宋" w:hAnsi="仿宋" w:eastAsia="仿宋" w:cs="仿宋"/>
                <w:sz w:val="16"/>
                <w:szCs w:val="16"/>
                <w:highlight w:val="none"/>
                <w:lang w:eastAsia="zh-CN"/>
              </w:rPr>
              <w:t>10</w:t>
            </w:r>
          </w:p>
        </w:tc>
        <w:tc>
          <w:tcPr>
            <w:tcW w:w="808" w:type="dxa"/>
            <w:shd w:val="clear" w:color="auto" w:fill="auto"/>
            <w:noWrap w:val="0"/>
            <w:vAlign w:val="center"/>
          </w:tcPr>
          <w:p w14:paraId="21C3ACB0">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rPr>
              <w:t>　</w:t>
            </w:r>
            <w:r>
              <w:rPr>
                <w:rFonts w:hint="eastAsia" w:ascii="仿宋" w:hAnsi="仿宋" w:eastAsia="仿宋" w:cs="仿宋"/>
                <w:sz w:val="16"/>
                <w:szCs w:val="16"/>
                <w:highlight w:val="none"/>
                <w:lang w:eastAsia="zh-CN"/>
              </w:rPr>
              <w:t>10</w:t>
            </w:r>
          </w:p>
        </w:tc>
        <w:tc>
          <w:tcPr>
            <w:tcW w:w="1019" w:type="dxa"/>
            <w:noWrap w:val="0"/>
            <w:vAlign w:val="center"/>
          </w:tcPr>
          <w:p w14:paraId="429EC35F">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043C2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40" w:type="dxa"/>
            <w:vMerge w:val="continue"/>
            <w:noWrap w:val="0"/>
            <w:vAlign w:val="center"/>
          </w:tcPr>
          <w:p w14:paraId="7D54D16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20" w:type="dxa"/>
            <w:vMerge w:val="restart"/>
            <w:noWrap w:val="0"/>
            <w:vAlign w:val="center"/>
          </w:tcPr>
          <w:p w14:paraId="004C45D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效益指标</w:t>
            </w:r>
          </w:p>
          <w:p w14:paraId="3ED6D28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（30分）</w:t>
            </w:r>
          </w:p>
        </w:tc>
        <w:tc>
          <w:tcPr>
            <w:tcW w:w="1226" w:type="dxa"/>
            <w:noWrap w:val="0"/>
            <w:vAlign w:val="center"/>
          </w:tcPr>
          <w:p w14:paraId="404390F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经济效</w:t>
            </w:r>
          </w:p>
          <w:p w14:paraId="2C1E91D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661" w:type="dxa"/>
            <w:shd w:val="clear" w:color="auto" w:fill="auto"/>
            <w:noWrap w:val="0"/>
            <w:vAlign w:val="center"/>
          </w:tcPr>
          <w:p w14:paraId="4BFC3B36">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完善办学条件，提升资金使用效益。</w:t>
            </w:r>
          </w:p>
        </w:tc>
        <w:tc>
          <w:tcPr>
            <w:tcW w:w="1097" w:type="dxa"/>
            <w:shd w:val="clear" w:color="auto" w:fill="auto"/>
            <w:noWrap w:val="0"/>
            <w:vAlign w:val="center"/>
          </w:tcPr>
          <w:p w14:paraId="14F4B24E">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效果明显</w:t>
            </w:r>
          </w:p>
        </w:tc>
        <w:tc>
          <w:tcPr>
            <w:tcW w:w="1142" w:type="dxa"/>
            <w:shd w:val="clear" w:color="auto" w:fill="auto"/>
            <w:noWrap w:val="0"/>
            <w:vAlign w:val="center"/>
          </w:tcPr>
          <w:p w14:paraId="6BE778AC">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rPr>
              <w:t>　</w:t>
            </w:r>
            <w:r>
              <w:rPr>
                <w:rFonts w:hint="eastAsia" w:ascii="仿宋" w:hAnsi="仿宋" w:eastAsia="仿宋" w:cs="仿宋"/>
                <w:sz w:val="16"/>
                <w:szCs w:val="16"/>
                <w:highlight w:val="none"/>
                <w:lang w:eastAsia="zh-CN"/>
              </w:rPr>
              <w:t>一般</w:t>
            </w:r>
          </w:p>
        </w:tc>
        <w:tc>
          <w:tcPr>
            <w:tcW w:w="738" w:type="dxa"/>
            <w:shd w:val="clear" w:color="auto" w:fill="auto"/>
            <w:noWrap w:val="0"/>
            <w:vAlign w:val="center"/>
          </w:tcPr>
          <w:p w14:paraId="0A5F6DA5">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rPr>
              <w:t>　</w:t>
            </w:r>
            <w:r>
              <w:rPr>
                <w:rFonts w:hint="eastAsia" w:ascii="仿宋" w:hAnsi="仿宋" w:eastAsia="仿宋" w:cs="仿宋"/>
                <w:sz w:val="16"/>
                <w:szCs w:val="16"/>
                <w:highlight w:val="none"/>
                <w:lang w:eastAsia="zh-CN"/>
              </w:rPr>
              <w:t>10</w:t>
            </w:r>
          </w:p>
        </w:tc>
        <w:tc>
          <w:tcPr>
            <w:tcW w:w="808" w:type="dxa"/>
            <w:shd w:val="clear" w:color="auto" w:fill="auto"/>
            <w:noWrap w:val="0"/>
            <w:vAlign w:val="center"/>
          </w:tcPr>
          <w:p w14:paraId="086DB059">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rPr>
              <w:t>　</w:t>
            </w:r>
            <w:r>
              <w:rPr>
                <w:rFonts w:hint="eastAsia" w:ascii="仿宋" w:hAnsi="仿宋" w:eastAsia="仿宋" w:cs="仿宋"/>
                <w:sz w:val="16"/>
                <w:szCs w:val="16"/>
                <w:highlight w:val="none"/>
                <w:lang w:eastAsia="zh-CN"/>
              </w:rPr>
              <w:t>5</w:t>
            </w:r>
          </w:p>
        </w:tc>
        <w:tc>
          <w:tcPr>
            <w:tcW w:w="1019" w:type="dxa"/>
            <w:noWrap w:val="0"/>
            <w:vAlign w:val="center"/>
          </w:tcPr>
          <w:p w14:paraId="365ACB63">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ADDA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0" w:type="dxa"/>
            <w:vMerge w:val="continue"/>
            <w:noWrap w:val="0"/>
            <w:vAlign w:val="center"/>
          </w:tcPr>
          <w:p w14:paraId="4E47373D">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20" w:type="dxa"/>
            <w:vMerge w:val="continue"/>
            <w:noWrap w:val="0"/>
            <w:vAlign w:val="center"/>
          </w:tcPr>
          <w:p w14:paraId="18BA249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26" w:type="dxa"/>
            <w:noWrap w:val="0"/>
            <w:vAlign w:val="center"/>
          </w:tcPr>
          <w:p w14:paraId="197FD16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社会效</w:t>
            </w:r>
          </w:p>
          <w:p w14:paraId="02438E4B">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661" w:type="dxa"/>
            <w:shd w:val="clear" w:color="auto" w:fill="auto"/>
            <w:noWrap w:val="0"/>
            <w:vAlign w:val="center"/>
          </w:tcPr>
          <w:p w14:paraId="7A64731A">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后勤保障服务水平</w:t>
            </w:r>
          </w:p>
        </w:tc>
        <w:tc>
          <w:tcPr>
            <w:tcW w:w="1097" w:type="dxa"/>
            <w:shd w:val="clear" w:color="auto" w:fill="auto"/>
            <w:noWrap w:val="0"/>
            <w:vAlign w:val="center"/>
          </w:tcPr>
          <w:p w14:paraId="37A21C31">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显著提升</w:t>
            </w:r>
          </w:p>
        </w:tc>
        <w:tc>
          <w:tcPr>
            <w:tcW w:w="1142" w:type="dxa"/>
            <w:shd w:val="clear" w:color="auto" w:fill="auto"/>
            <w:noWrap w:val="0"/>
            <w:vAlign w:val="center"/>
          </w:tcPr>
          <w:p w14:paraId="2E479FB6">
            <w:pPr>
              <w:spacing w:line="280" w:lineRule="exact"/>
              <w:rPr>
                <w:rFonts w:hint="eastAsia" w:ascii="仿宋" w:hAnsi="仿宋" w:eastAsia="仿宋" w:cs="仿宋"/>
                <w:snapToGrid w:val="0"/>
                <w:color w:val="000000"/>
                <w:sz w:val="16"/>
                <w:szCs w:val="16"/>
                <w:highlight w:val="none"/>
                <w:lang w:val="en-US" w:eastAsia="zh-CN" w:bidi="ar-SA"/>
              </w:rPr>
            </w:pPr>
            <w:r>
              <w:rPr>
                <w:rFonts w:hint="eastAsia" w:ascii="仿宋" w:hAnsi="仿宋" w:eastAsia="仿宋" w:cs="仿宋"/>
                <w:sz w:val="16"/>
                <w:szCs w:val="16"/>
                <w:highlight w:val="none"/>
                <w:lang w:eastAsia="zh-CN"/>
              </w:rPr>
              <w:t xml:space="preserve"> 显著提升</w:t>
            </w:r>
          </w:p>
        </w:tc>
        <w:tc>
          <w:tcPr>
            <w:tcW w:w="738" w:type="dxa"/>
            <w:shd w:val="clear" w:color="auto" w:fill="auto"/>
            <w:noWrap w:val="0"/>
            <w:vAlign w:val="center"/>
          </w:tcPr>
          <w:p w14:paraId="5DA47264">
            <w:pPr>
              <w:spacing w:line="280" w:lineRule="exact"/>
              <w:ind w:firstLine="160" w:firstLineChars="100"/>
              <w:rPr>
                <w:rFonts w:hint="eastAsia" w:ascii="仿宋" w:hAnsi="仿宋" w:eastAsia="仿宋" w:cs="仿宋"/>
                <w:snapToGrid w:val="0"/>
                <w:color w:val="000000"/>
                <w:sz w:val="16"/>
                <w:szCs w:val="16"/>
                <w:highlight w:val="none"/>
                <w:lang w:val="en-US" w:eastAsia="zh-CN" w:bidi="ar-SA"/>
              </w:rPr>
            </w:pPr>
            <w:r>
              <w:rPr>
                <w:rFonts w:hint="eastAsia" w:ascii="仿宋" w:hAnsi="仿宋" w:eastAsia="仿宋" w:cs="仿宋"/>
                <w:sz w:val="16"/>
                <w:szCs w:val="16"/>
                <w:highlight w:val="none"/>
                <w:lang w:val="en-US" w:eastAsia="zh-CN"/>
              </w:rPr>
              <w:t>5</w:t>
            </w:r>
          </w:p>
        </w:tc>
        <w:tc>
          <w:tcPr>
            <w:tcW w:w="808" w:type="dxa"/>
            <w:shd w:val="clear" w:color="auto" w:fill="auto"/>
            <w:noWrap w:val="0"/>
            <w:vAlign w:val="center"/>
          </w:tcPr>
          <w:p w14:paraId="7D59C8BC">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rPr>
              <w:t>　</w:t>
            </w:r>
            <w:r>
              <w:rPr>
                <w:rFonts w:hint="eastAsia" w:ascii="仿宋" w:hAnsi="仿宋" w:eastAsia="仿宋" w:cs="仿宋"/>
                <w:sz w:val="16"/>
                <w:szCs w:val="16"/>
                <w:highlight w:val="none"/>
                <w:lang w:val="en-US" w:eastAsia="zh-CN"/>
              </w:rPr>
              <w:t>5</w:t>
            </w:r>
          </w:p>
        </w:tc>
        <w:tc>
          <w:tcPr>
            <w:tcW w:w="1019" w:type="dxa"/>
            <w:shd w:val="clear" w:color="auto" w:fill="auto"/>
            <w:noWrap w:val="0"/>
            <w:vAlign w:val="center"/>
          </w:tcPr>
          <w:p w14:paraId="3AC67A8B">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rPr>
              <w:t>　</w:t>
            </w:r>
          </w:p>
        </w:tc>
      </w:tr>
      <w:tr w14:paraId="186E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0" w:type="dxa"/>
            <w:vMerge w:val="continue"/>
            <w:noWrap w:val="0"/>
            <w:vAlign w:val="center"/>
          </w:tcPr>
          <w:p w14:paraId="1C5B2C0A">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20" w:type="dxa"/>
            <w:vMerge w:val="continue"/>
            <w:noWrap w:val="0"/>
            <w:vAlign w:val="center"/>
          </w:tcPr>
          <w:p w14:paraId="7E236B6B">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26" w:type="dxa"/>
            <w:noWrap w:val="0"/>
            <w:vAlign w:val="center"/>
          </w:tcPr>
          <w:p w14:paraId="5149D42E">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生态效</w:t>
            </w:r>
          </w:p>
          <w:p w14:paraId="52061365">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益指标</w:t>
            </w:r>
          </w:p>
        </w:tc>
        <w:tc>
          <w:tcPr>
            <w:tcW w:w="1661" w:type="dxa"/>
            <w:shd w:val="clear" w:color="auto" w:fill="auto"/>
            <w:noWrap w:val="0"/>
            <w:vAlign w:val="center"/>
          </w:tcPr>
          <w:p w14:paraId="37C876D4">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增加绿化面积</w:t>
            </w:r>
          </w:p>
        </w:tc>
        <w:tc>
          <w:tcPr>
            <w:tcW w:w="1097" w:type="dxa"/>
            <w:shd w:val="clear" w:color="auto" w:fill="auto"/>
            <w:noWrap w:val="0"/>
            <w:vAlign w:val="center"/>
          </w:tcPr>
          <w:p w14:paraId="49172D7F">
            <w:pPr>
              <w:spacing w:line="280" w:lineRule="exact"/>
              <w:rPr>
                <w:rFonts w:hint="eastAsia" w:ascii="仿宋" w:hAnsi="仿宋" w:eastAsia="仿宋" w:cs="仿宋"/>
                <w:snapToGrid w:val="0"/>
                <w:color w:val="000000"/>
                <w:sz w:val="16"/>
                <w:szCs w:val="16"/>
                <w:highlight w:val="none"/>
                <w:lang w:val="en-US" w:eastAsia="zh-CN" w:bidi="ar-SA"/>
              </w:rPr>
            </w:pPr>
            <w:r>
              <w:rPr>
                <w:rFonts w:hint="eastAsia" w:ascii="仿宋" w:hAnsi="仿宋" w:eastAsia="仿宋" w:cs="仿宋"/>
                <w:sz w:val="16"/>
                <w:szCs w:val="16"/>
                <w:highlight w:val="none"/>
                <w:lang w:eastAsia="zh-CN"/>
              </w:rPr>
              <w:t>1</w:t>
            </w:r>
            <w:r>
              <w:rPr>
                <w:rFonts w:hint="eastAsia" w:ascii="仿宋" w:hAnsi="仿宋" w:eastAsia="仿宋" w:cs="仿宋"/>
                <w:sz w:val="16"/>
                <w:szCs w:val="16"/>
                <w:highlight w:val="none"/>
                <w:lang w:val="en-US" w:eastAsia="zh-CN"/>
              </w:rPr>
              <w:t>6285</w:t>
            </w:r>
            <w:r>
              <w:rPr>
                <w:rFonts w:hint="eastAsia" w:ascii="仿宋" w:hAnsi="仿宋" w:eastAsia="仿宋" w:cs="仿宋"/>
                <w:sz w:val="16"/>
                <w:szCs w:val="16"/>
                <w:highlight w:val="none"/>
                <w:lang w:eastAsia="zh-CN"/>
              </w:rPr>
              <w:t>㎡</w:t>
            </w:r>
          </w:p>
        </w:tc>
        <w:tc>
          <w:tcPr>
            <w:tcW w:w="1142" w:type="dxa"/>
            <w:shd w:val="clear" w:color="auto" w:fill="auto"/>
            <w:noWrap w:val="0"/>
            <w:vAlign w:val="center"/>
          </w:tcPr>
          <w:p w14:paraId="6DF9AB4C">
            <w:pPr>
              <w:spacing w:line="280" w:lineRule="exact"/>
              <w:rPr>
                <w:rFonts w:hint="eastAsia" w:ascii="仿宋" w:hAnsi="仿宋" w:eastAsia="仿宋" w:cs="仿宋"/>
                <w:snapToGrid w:val="0"/>
                <w:color w:val="000000"/>
                <w:sz w:val="16"/>
                <w:szCs w:val="16"/>
                <w:highlight w:val="none"/>
                <w:lang w:val="en-US" w:eastAsia="zh-CN" w:bidi="ar-SA"/>
              </w:rPr>
            </w:pPr>
            <w:r>
              <w:rPr>
                <w:rFonts w:hint="eastAsia" w:ascii="仿宋" w:hAnsi="仿宋" w:eastAsia="仿宋" w:cs="仿宋"/>
                <w:sz w:val="16"/>
                <w:szCs w:val="16"/>
                <w:highlight w:val="none"/>
                <w:lang w:eastAsia="zh-CN"/>
              </w:rPr>
              <w:t>16285㎡</w:t>
            </w:r>
          </w:p>
        </w:tc>
        <w:tc>
          <w:tcPr>
            <w:tcW w:w="738" w:type="dxa"/>
            <w:shd w:val="clear" w:color="auto" w:fill="auto"/>
            <w:noWrap w:val="0"/>
            <w:vAlign w:val="center"/>
          </w:tcPr>
          <w:p w14:paraId="55CB8C3C">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rPr>
              <w:t>　</w:t>
            </w:r>
            <w:r>
              <w:rPr>
                <w:rFonts w:hint="eastAsia" w:ascii="仿宋" w:hAnsi="仿宋" w:eastAsia="仿宋" w:cs="仿宋"/>
                <w:sz w:val="16"/>
                <w:szCs w:val="16"/>
                <w:highlight w:val="none"/>
                <w:lang w:eastAsia="zh-CN"/>
              </w:rPr>
              <w:t>10</w:t>
            </w:r>
          </w:p>
        </w:tc>
        <w:tc>
          <w:tcPr>
            <w:tcW w:w="808" w:type="dxa"/>
            <w:shd w:val="clear" w:color="auto" w:fill="auto"/>
            <w:noWrap w:val="0"/>
            <w:vAlign w:val="center"/>
          </w:tcPr>
          <w:p w14:paraId="1357ECD9">
            <w:pPr>
              <w:spacing w:line="280" w:lineRule="exact"/>
              <w:rPr>
                <w:rFonts w:hint="eastAsia" w:ascii="仿宋" w:hAnsi="仿宋" w:eastAsia="仿宋" w:cs="仿宋"/>
                <w:snapToGrid w:val="0"/>
                <w:color w:val="000000"/>
                <w:sz w:val="16"/>
                <w:szCs w:val="16"/>
                <w:highlight w:val="none"/>
                <w:lang w:val="en-US" w:eastAsia="zh-CN" w:bidi="ar-SA"/>
              </w:rPr>
            </w:pPr>
            <w:r>
              <w:rPr>
                <w:rFonts w:hint="eastAsia" w:ascii="仿宋" w:hAnsi="仿宋" w:eastAsia="仿宋" w:cs="仿宋"/>
                <w:sz w:val="16"/>
                <w:szCs w:val="16"/>
                <w:highlight w:val="none"/>
              </w:rPr>
              <w:t>　</w:t>
            </w:r>
            <w:r>
              <w:rPr>
                <w:rFonts w:hint="eastAsia" w:ascii="仿宋" w:hAnsi="仿宋" w:eastAsia="仿宋" w:cs="仿宋"/>
                <w:sz w:val="16"/>
                <w:szCs w:val="16"/>
                <w:highlight w:val="none"/>
                <w:lang w:val="en-US" w:eastAsia="zh-CN"/>
              </w:rPr>
              <w:t>10</w:t>
            </w:r>
          </w:p>
        </w:tc>
        <w:tc>
          <w:tcPr>
            <w:tcW w:w="1019" w:type="dxa"/>
            <w:noWrap w:val="0"/>
            <w:vAlign w:val="center"/>
          </w:tcPr>
          <w:p w14:paraId="22837BF5">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28A66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0" w:type="dxa"/>
            <w:vMerge w:val="continue"/>
            <w:noWrap w:val="0"/>
            <w:vAlign w:val="center"/>
          </w:tcPr>
          <w:p w14:paraId="666ACB27">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p>
        </w:tc>
        <w:tc>
          <w:tcPr>
            <w:tcW w:w="1220" w:type="dxa"/>
            <w:vMerge w:val="continue"/>
            <w:noWrap w:val="0"/>
            <w:vAlign w:val="center"/>
          </w:tcPr>
          <w:p w14:paraId="341F3064">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26" w:type="dxa"/>
            <w:noWrap w:val="0"/>
            <w:vAlign w:val="center"/>
          </w:tcPr>
          <w:p w14:paraId="290F3D5F">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可持续影响指标</w:t>
            </w:r>
          </w:p>
        </w:tc>
        <w:tc>
          <w:tcPr>
            <w:tcW w:w="1661" w:type="dxa"/>
            <w:shd w:val="clear" w:color="auto" w:fill="auto"/>
            <w:noWrap w:val="0"/>
            <w:vAlign w:val="center"/>
          </w:tcPr>
          <w:p w14:paraId="1B79BF88">
            <w:pPr>
              <w:spacing w:line="280" w:lineRule="exact"/>
              <w:rPr>
                <w:rFonts w:hint="eastAsia" w:ascii="仿宋" w:hAnsi="仿宋" w:eastAsia="仿宋" w:cs="仿宋"/>
                <w:snapToGrid w:val="0"/>
                <w:color w:val="000000"/>
                <w:sz w:val="16"/>
                <w:szCs w:val="16"/>
                <w:highlight w:val="none"/>
                <w:lang w:val="en-US" w:eastAsia="zh-CN" w:bidi="ar-SA"/>
              </w:rPr>
            </w:pPr>
            <w:r>
              <w:rPr>
                <w:rFonts w:hint="eastAsia" w:ascii="仿宋" w:hAnsi="仿宋" w:eastAsia="仿宋" w:cs="仿宋"/>
                <w:sz w:val="16"/>
                <w:szCs w:val="16"/>
                <w:highlight w:val="none"/>
                <w:lang w:eastAsia="zh-CN"/>
              </w:rPr>
              <w:t>相关基础设施配套性</w:t>
            </w:r>
          </w:p>
        </w:tc>
        <w:tc>
          <w:tcPr>
            <w:tcW w:w="1097" w:type="dxa"/>
            <w:shd w:val="clear" w:color="auto" w:fill="auto"/>
            <w:noWrap w:val="0"/>
            <w:vAlign w:val="center"/>
          </w:tcPr>
          <w:p w14:paraId="1ADA93EB">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进一步完善</w:t>
            </w:r>
          </w:p>
        </w:tc>
        <w:tc>
          <w:tcPr>
            <w:tcW w:w="1142" w:type="dxa"/>
            <w:shd w:val="clear" w:color="auto" w:fill="auto"/>
            <w:noWrap w:val="0"/>
            <w:vAlign w:val="center"/>
          </w:tcPr>
          <w:p w14:paraId="48AB6DA0">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进一步完善</w:t>
            </w:r>
          </w:p>
        </w:tc>
        <w:tc>
          <w:tcPr>
            <w:tcW w:w="738" w:type="dxa"/>
            <w:shd w:val="clear" w:color="auto" w:fill="auto"/>
            <w:noWrap w:val="0"/>
            <w:vAlign w:val="center"/>
          </w:tcPr>
          <w:p w14:paraId="7172767E">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rPr>
              <w:t>　</w:t>
            </w:r>
            <w:r>
              <w:rPr>
                <w:rFonts w:hint="eastAsia" w:ascii="仿宋" w:hAnsi="仿宋" w:eastAsia="仿宋" w:cs="仿宋"/>
                <w:sz w:val="16"/>
                <w:szCs w:val="16"/>
                <w:highlight w:val="none"/>
                <w:lang w:val="en-US" w:eastAsia="zh-CN"/>
              </w:rPr>
              <w:t>5</w:t>
            </w:r>
          </w:p>
        </w:tc>
        <w:tc>
          <w:tcPr>
            <w:tcW w:w="808" w:type="dxa"/>
            <w:noWrap w:val="0"/>
            <w:vAlign w:val="center"/>
          </w:tcPr>
          <w:p w14:paraId="681E716E">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rPr>
              <w:t>　</w:t>
            </w:r>
            <w:r>
              <w:rPr>
                <w:rFonts w:hint="eastAsia" w:ascii="仿宋" w:hAnsi="仿宋" w:eastAsia="仿宋" w:cs="仿宋"/>
                <w:color w:val="000000"/>
                <w:kern w:val="0"/>
                <w:sz w:val="20"/>
                <w:szCs w:val="20"/>
                <w:lang w:val="en-US" w:eastAsia="zh-CN"/>
              </w:rPr>
              <w:t>5</w:t>
            </w:r>
          </w:p>
        </w:tc>
        <w:tc>
          <w:tcPr>
            <w:tcW w:w="1019" w:type="dxa"/>
            <w:noWrap w:val="0"/>
            <w:vAlign w:val="center"/>
          </w:tcPr>
          <w:p w14:paraId="3AC6AE0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r w14:paraId="1B8F9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40" w:type="dxa"/>
            <w:vMerge w:val="continue"/>
            <w:noWrap w:val="0"/>
            <w:vAlign w:val="center"/>
          </w:tcPr>
          <w:p w14:paraId="440A8C6C">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p>
        </w:tc>
        <w:tc>
          <w:tcPr>
            <w:tcW w:w="1220" w:type="dxa"/>
            <w:noWrap w:val="0"/>
            <w:vAlign w:val="center"/>
          </w:tcPr>
          <w:p w14:paraId="02B6A78B">
            <w:pPr>
              <w:keepNext w:val="0"/>
              <w:keepLines w:val="0"/>
              <w:pageBreakBefore w:val="0"/>
              <w:widowControl/>
              <w:kinsoku/>
              <w:wordWrap/>
              <w:overflowPunct/>
              <w:topLinePunct w:val="0"/>
              <w:autoSpaceDE/>
              <w:autoSpaceDN/>
              <w:bidi w:val="0"/>
              <w:adjustRightInd/>
              <w:snapToGrid/>
              <w:spacing w:line="280" w:lineRule="exact"/>
              <w:jc w:val="both"/>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满意度指标（10分）</w:t>
            </w:r>
          </w:p>
        </w:tc>
        <w:tc>
          <w:tcPr>
            <w:tcW w:w="1226" w:type="dxa"/>
            <w:noWrap w:val="0"/>
            <w:vAlign w:val="center"/>
          </w:tcPr>
          <w:p w14:paraId="135977D4">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服务对象满意度指标</w:t>
            </w:r>
          </w:p>
        </w:tc>
        <w:tc>
          <w:tcPr>
            <w:tcW w:w="1661" w:type="dxa"/>
            <w:shd w:val="clear" w:color="auto" w:fill="auto"/>
            <w:noWrap w:val="0"/>
            <w:vAlign w:val="center"/>
          </w:tcPr>
          <w:p w14:paraId="355A27ED">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师生满意度</w:t>
            </w:r>
          </w:p>
        </w:tc>
        <w:tc>
          <w:tcPr>
            <w:tcW w:w="1097" w:type="dxa"/>
            <w:shd w:val="clear" w:color="auto" w:fill="auto"/>
            <w:noWrap w:val="0"/>
            <w:vAlign w:val="center"/>
          </w:tcPr>
          <w:p w14:paraId="34E91900">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rPr>
              <w:t>　</w:t>
            </w:r>
            <w:r>
              <w:rPr>
                <w:rFonts w:hint="eastAsia" w:ascii="仿宋" w:hAnsi="仿宋" w:eastAsia="仿宋" w:cs="仿宋"/>
                <w:sz w:val="16"/>
                <w:szCs w:val="16"/>
                <w:highlight w:val="none"/>
                <w:lang w:eastAsia="zh-CN"/>
              </w:rPr>
              <w:t>90%</w:t>
            </w:r>
          </w:p>
        </w:tc>
        <w:tc>
          <w:tcPr>
            <w:tcW w:w="1142" w:type="dxa"/>
            <w:shd w:val="clear" w:color="auto" w:fill="auto"/>
            <w:noWrap w:val="0"/>
            <w:vAlign w:val="center"/>
          </w:tcPr>
          <w:p w14:paraId="7F28EF62">
            <w:pPr>
              <w:spacing w:line="280" w:lineRule="exact"/>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rPr>
              <w:t>　</w:t>
            </w:r>
            <w:r>
              <w:rPr>
                <w:rFonts w:hint="eastAsia" w:ascii="仿宋" w:hAnsi="仿宋" w:eastAsia="仿宋" w:cs="仿宋"/>
                <w:sz w:val="16"/>
                <w:szCs w:val="16"/>
                <w:highlight w:val="none"/>
                <w:lang w:eastAsia="zh-CN"/>
              </w:rPr>
              <w:t>85%</w:t>
            </w:r>
          </w:p>
        </w:tc>
        <w:tc>
          <w:tcPr>
            <w:tcW w:w="738" w:type="dxa"/>
            <w:shd w:val="clear" w:color="auto" w:fill="auto"/>
            <w:noWrap w:val="0"/>
            <w:vAlign w:val="center"/>
          </w:tcPr>
          <w:p w14:paraId="4BFB8E57">
            <w:pPr>
              <w:spacing w:line="280" w:lineRule="exact"/>
              <w:ind w:firstLine="160" w:firstLineChars="100"/>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10</w:t>
            </w:r>
          </w:p>
        </w:tc>
        <w:tc>
          <w:tcPr>
            <w:tcW w:w="808" w:type="dxa"/>
            <w:shd w:val="clear" w:color="auto" w:fill="auto"/>
            <w:noWrap w:val="0"/>
            <w:vAlign w:val="center"/>
          </w:tcPr>
          <w:p w14:paraId="26218A09">
            <w:pPr>
              <w:spacing w:line="280" w:lineRule="exact"/>
              <w:ind w:firstLine="160" w:firstLineChars="100"/>
              <w:rPr>
                <w:rFonts w:hint="eastAsia" w:ascii="仿宋" w:hAnsi="仿宋" w:eastAsia="仿宋" w:cs="仿宋"/>
                <w:snapToGrid w:val="0"/>
                <w:color w:val="000000"/>
                <w:sz w:val="16"/>
                <w:szCs w:val="16"/>
                <w:highlight w:val="none"/>
                <w:lang w:val="en-US" w:eastAsia="en-US" w:bidi="ar-SA"/>
              </w:rPr>
            </w:pPr>
            <w:r>
              <w:rPr>
                <w:rFonts w:hint="eastAsia" w:ascii="仿宋" w:hAnsi="仿宋" w:eastAsia="仿宋" w:cs="仿宋"/>
                <w:sz w:val="16"/>
                <w:szCs w:val="16"/>
                <w:highlight w:val="none"/>
                <w:lang w:eastAsia="zh-CN"/>
              </w:rPr>
              <w:t>7.5</w:t>
            </w:r>
          </w:p>
        </w:tc>
        <w:tc>
          <w:tcPr>
            <w:tcW w:w="1019" w:type="dxa"/>
            <w:shd w:val="clear" w:color="auto" w:fill="auto"/>
            <w:noWrap w:val="0"/>
            <w:vAlign w:val="center"/>
          </w:tcPr>
          <w:p w14:paraId="6580AB48">
            <w:pPr>
              <w:spacing w:line="280" w:lineRule="exact"/>
              <w:rPr>
                <w:rFonts w:hint="eastAsia" w:ascii="仿宋" w:hAnsi="仿宋" w:eastAsia="仿宋" w:cs="仿宋"/>
                <w:snapToGrid w:val="0"/>
                <w:color w:val="000000"/>
                <w:sz w:val="16"/>
                <w:szCs w:val="16"/>
                <w:highlight w:val="none"/>
                <w:lang w:val="en-US" w:eastAsia="en-US" w:bidi="ar-SA"/>
              </w:rPr>
            </w:pPr>
          </w:p>
        </w:tc>
      </w:tr>
      <w:tr w14:paraId="720BC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7286" w:type="dxa"/>
            <w:gridSpan w:val="6"/>
            <w:noWrap w:val="0"/>
            <w:vAlign w:val="center"/>
          </w:tcPr>
          <w:p w14:paraId="13539AF1">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bookmarkStart w:id="32" w:name="_GoBack"/>
            <w:bookmarkEnd w:id="32"/>
            <w:r>
              <w:rPr>
                <w:rFonts w:hint="eastAsia" w:ascii="仿宋" w:hAnsi="仿宋" w:eastAsia="仿宋" w:cs="仿宋"/>
                <w:color w:val="000000"/>
                <w:kern w:val="0"/>
                <w:sz w:val="20"/>
                <w:szCs w:val="20"/>
              </w:rPr>
              <w:t>总分</w:t>
            </w:r>
          </w:p>
        </w:tc>
        <w:tc>
          <w:tcPr>
            <w:tcW w:w="738" w:type="dxa"/>
            <w:noWrap w:val="0"/>
            <w:vAlign w:val="center"/>
          </w:tcPr>
          <w:p w14:paraId="6B326BFC">
            <w:pPr>
              <w:keepNext w:val="0"/>
              <w:keepLines w:val="0"/>
              <w:pageBreakBefore w:val="0"/>
              <w:widowControl/>
              <w:kinsoku/>
              <w:wordWrap/>
              <w:overflowPunct/>
              <w:topLinePunct w:val="0"/>
              <w:autoSpaceDE/>
              <w:autoSpaceDN/>
              <w:bidi w:val="0"/>
              <w:adjustRightInd/>
              <w:snapToGrid/>
              <w:spacing w:line="280" w:lineRule="exact"/>
              <w:jc w:val="center"/>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100</w:t>
            </w:r>
          </w:p>
        </w:tc>
        <w:tc>
          <w:tcPr>
            <w:tcW w:w="808" w:type="dxa"/>
            <w:noWrap w:val="0"/>
            <w:vAlign w:val="center"/>
          </w:tcPr>
          <w:p w14:paraId="7B3122D7">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default" w:ascii="仿宋" w:hAnsi="仿宋" w:eastAsia="仿宋" w:cs="仿宋"/>
                <w:color w:val="000000"/>
                <w:kern w:val="0"/>
                <w:sz w:val="20"/>
                <w:szCs w:val="20"/>
                <w:lang w:val="en-US" w:eastAsia="zh-CN"/>
              </w:rPr>
            </w:pPr>
            <w:r>
              <w:rPr>
                <w:rFonts w:hint="eastAsia" w:ascii="仿宋" w:hAnsi="仿宋" w:eastAsia="仿宋" w:cs="仿宋"/>
                <w:color w:val="000000"/>
                <w:kern w:val="0"/>
                <w:sz w:val="20"/>
                <w:szCs w:val="20"/>
                <w:lang w:val="en-US" w:eastAsia="zh-CN"/>
              </w:rPr>
              <w:t>81.48</w:t>
            </w:r>
          </w:p>
        </w:tc>
        <w:tc>
          <w:tcPr>
            <w:tcW w:w="1019" w:type="dxa"/>
            <w:noWrap w:val="0"/>
            <w:vAlign w:val="center"/>
          </w:tcPr>
          <w:p w14:paraId="07BAABF8">
            <w:pPr>
              <w:keepNext w:val="0"/>
              <w:keepLines w:val="0"/>
              <w:pageBreakBefore w:val="0"/>
              <w:widowControl/>
              <w:kinsoku/>
              <w:wordWrap/>
              <w:overflowPunct/>
              <w:topLinePunct w:val="0"/>
              <w:autoSpaceDE/>
              <w:autoSpaceDN/>
              <w:bidi w:val="0"/>
              <w:adjustRightInd/>
              <w:snapToGrid/>
              <w:spacing w:line="280" w:lineRule="exact"/>
              <w:jc w:val="left"/>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　</w:t>
            </w:r>
          </w:p>
        </w:tc>
      </w:tr>
    </w:tbl>
    <w:p w14:paraId="06CDE77A">
      <w:pPr>
        <w:spacing w:line="600" w:lineRule="exact"/>
        <w:rPr>
          <w:rFonts w:eastAsia="仿宋_GB2312"/>
          <w:sz w:val="24"/>
          <w:lang w:eastAsia="zh-CN"/>
        </w:rPr>
      </w:pPr>
      <w:r>
        <w:rPr>
          <w:rFonts w:eastAsia="仿宋_GB2312"/>
          <w:sz w:val="24"/>
          <w:lang w:eastAsia="zh-CN"/>
        </w:rPr>
        <w:t>填表人：</w:t>
      </w:r>
      <w:r>
        <w:rPr>
          <w:rFonts w:hint="eastAsia" w:ascii="宋体" w:hAnsi="宋体" w:eastAsia="宋体" w:cs="宋体"/>
          <w:sz w:val="24"/>
          <w:lang w:eastAsia="zh-CN"/>
        </w:rPr>
        <w:t xml:space="preserve">向阳 </w:t>
      </w:r>
      <w:r>
        <w:rPr>
          <w:rFonts w:hint="eastAsia" w:eastAsia="仿宋_GB2312"/>
          <w:sz w:val="24"/>
          <w:lang w:eastAsia="zh-CN"/>
        </w:rPr>
        <w:t xml:space="preserve">   </w:t>
      </w:r>
      <w:r>
        <w:rPr>
          <w:rFonts w:eastAsia="仿宋_GB2312"/>
          <w:sz w:val="24"/>
          <w:lang w:eastAsia="zh-CN"/>
        </w:rPr>
        <w:t>填报日期：</w:t>
      </w:r>
      <w:r>
        <w:rPr>
          <w:rFonts w:hint="eastAsia" w:eastAsia="仿宋_GB2312"/>
          <w:sz w:val="24"/>
          <w:lang w:eastAsia="zh-CN"/>
        </w:rPr>
        <w:t xml:space="preserve"> 2024年6月30日    </w:t>
      </w:r>
      <w:r>
        <w:rPr>
          <w:rFonts w:eastAsia="仿宋_GB2312"/>
          <w:sz w:val="24"/>
          <w:lang w:eastAsia="zh-CN"/>
        </w:rPr>
        <w:t xml:space="preserve"> </w:t>
      </w:r>
      <w:r>
        <w:rPr>
          <w:rFonts w:hint="eastAsia" w:eastAsia="仿宋_GB2312"/>
          <w:sz w:val="24"/>
          <w:lang w:eastAsia="zh-CN"/>
        </w:rPr>
        <w:t xml:space="preserve"> </w:t>
      </w:r>
      <w:r>
        <w:rPr>
          <w:rFonts w:eastAsia="仿宋_GB2312"/>
          <w:sz w:val="24"/>
          <w:lang w:eastAsia="zh-CN"/>
        </w:rPr>
        <w:t>联系电话</w:t>
      </w:r>
      <w:r>
        <w:rPr>
          <w:rFonts w:hint="eastAsia" w:eastAsia="仿宋_GB2312"/>
          <w:sz w:val="24"/>
          <w:lang w:eastAsia="zh-CN"/>
        </w:rPr>
        <w:t>：19918507720</w:t>
      </w:r>
    </w:p>
    <w:p w14:paraId="321910C4">
      <w:pPr>
        <w:spacing w:line="600" w:lineRule="exact"/>
        <w:rPr>
          <w:lang w:eastAsia="zh-CN"/>
        </w:rPr>
      </w:pPr>
    </w:p>
    <w:p w14:paraId="6AD6A2F1">
      <w:pPr>
        <w:pStyle w:val="2"/>
        <w:spacing w:before="239" w:line="372" w:lineRule="auto"/>
        <w:ind w:left="639"/>
        <w:rPr>
          <w:rFonts w:hint="eastAsia" w:ascii="楷体_GB2312" w:hAnsi="楷体_GB2312" w:eastAsia="楷体_GB2312" w:cs="楷体_GB2312"/>
          <w:color w:val="FF0000"/>
          <w:spacing w:val="12"/>
          <w:sz w:val="32"/>
          <w:szCs w:val="32"/>
          <w:lang w:eastAsia="zh-CN"/>
        </w:rPr>
      </w:pPr>
    </w:p>
    <w:p w14:paraId="17C69098">
      <w:pPr>
        <w:pStyle w:val="2"/>
        <w:spacing w:before="239" w:line="372" w:lineRule="auto"/>
        <w:ind w:left="639"/>
        <w:rPr>
          <w:rFonts w:hint="eastAsia" w:ascii="楷体_GB2312" w:hAnsi="楷体_GB2312" w:eastAsia="楷体_GB2312" w:cs="楷体_GB2312"/>
          <w:color w:val="FF0000"/>
          <w:spacing w:val="12"/>
          <w:sz w:val="32"/>
          <w:szCs w:val="32"/>
          <w:lang w:eastAsia="zh-CN"/>
        </w:rPr>
      </w:pPr>
    </w:p>
    <w:sectPr>
      <w:footerReference r:id="rId3" w:type="default"/>
      <w:pgSz w:w="11906" w:h="16839"/>
      <w:pgMar w:top="2098" w:right="1531" w:bottom="1871" w:left="1531" w:header="0" w:footer="989"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F1D68">
    <w:pPr>
      <w:spacing w:line="176" w:lineRule="auto"/>
      <w:ind w:left="424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5AEEDE">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25AEEDE">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2YyYjM1MTNhYTRhMjAxOGJhMzcyZmQwMWM5YjBkNDcifQ=="/>
  </w:docVars>
  <w:rsids>
    <w:rsidRoot w:val="002D545D"/>
    <w:rsid w:val="00040011"/>
    <w:rsid w:val="00043CC0"/>
    <w:rsid w:val="00046565"/>
    <w:rsid w:val="00046AA0"/>
    <w:rsid w:val="00085685"/>
    <w:rsid w:val="0009165D"/>
    <w:rsid w:val="000B2E64"/>
    <w:rsid w:val="000B533D"/>
    <w:rsid w:val="000C038A"/>
    <w:rsid w:val="000C595C"/>
    <w:rsid w:val="000C5CED"/>
    <w:rsid w:val="001141B7"/>
    <w:rsid w:val="0011440B"/>
    <w:rsid w:val="00143080"/>
    <w:rsid w:val="0015207A"/>
    <w:rsid w:val="00165929"/>
    <w:rsid w:val="00166E0C"/>
    <w:rsid w:val="0018288C"/>
    <w:rsid w:val="00192676"/>
    <w:rsid w:val="00194E56"/>
    <w:rsid w:val="001A328E"/>
    <w:rsid w:val="001A7B79"/>
    <w:rsid w:val="001B39F6"/>
    <w:rsid w:val="001C50F5"/>
    <w:rsid w:val="001C525B"/>
    <w:rsid w:val="001E0513"/>
    <w:rsid w:val="001E254F"/>
    <w:rsid w:val="001F7A30"/>
    <w:rsid w:val="00203117"/>
    <w:rsid w:val="00220F53"/>
    <w:rsid w:val="00221CA3"/>
    <w:rsid w:val="00223B2D"/>
    <w:rsid w:val="002273FB"/>
    <w:rsid w:val="00241257"/>
    <w:rsid w:val="00241C33"/>
    <w:rsid w:val="00244389"/>
    <w:rsid w:val="002504CC"/>
    <w:rsid w:val="00281B32"/>
    <w:rsid w:val="00291371"/>
    <w:rsid w:val="002A171E"/>
    <w:rsid w:val="002A2A56"/>
    <w:rsid w:val="002C5D5F"/>
    <w:rsid w:val="002D00B3"/>
    <w:rsid w:val="002D545D"/>
    <w:rsid w:val="00300AC1"/>
    <w:rsid w:val="003042DB"/>
    <w:rsid w:val="00315592"/>
    <w:rsid w:val="00316A31"/>
    <w:rsid w:val="00317A09"/>
    <w:rsid w:val="003455E7"/>
    <w:rsid w:val="003509D7"/>
    <w:rsid w:val="003546F6"/>
    <w:rsid w:val="00367366"/>
    <w:rsid w:val="003747D5"/>
    <w:rsid w:val="00376615"/>
    <w:rsid w:val="003767DE"/>
    <w:rsid w:val="00394212"/>
    <w:rsid w:val="003A6643"/>
    <w:rsid w:val="003B7DC3"/>
    <w:rsid w:val="003C14BC"/>
    <w:rsid w:val="003D75C6"/>
    <w:rsid w:val="003E2DF4"/>
    <w:rsid w:val="003F435E"/>
    <w:rsid w:val="0040748F"/>
    <w:rsid w:val="00423C6D"/>
    <w:rsid w:val="00423EF0"/>
    <w:rsid w:val="0043069F"/>
    <w:rsid w:val="00435BB4"/>
    <w:rsid w:val="00445881"/>
    <w:rsid w:val="00452056"/>
    <w:rsid w:val="004605AD"/>
    <w:rsid w:val="00461299"/>
    <w:rsid w:val="00486108"/>
    <w:rsid w:val="004A3948"/>
    <w:rsid w:val="004A5BB8"/>
    <w:rsid w:val="004B756E"/>
    <w:rsid w:val="004C5876"/>
    <w:rsid w:val="004D08A2"/>
    <w:rsid w:val="004E1CD5"/>
    <w:rsid w:val="004F20AF"/>
    <w:rsid w:val="00502339"/>
    <w:rsid w:val="00527DBD"/>
    <w:rsid w:val="00531A43"/>
    <w:rsid w:val="005713E6"/>
    <w:rsid w:val="0058035B"/>
    <w:rsid w:val="0058593F"/>
    <w:rsid w:val="00597CB4"/>
    <w:rsid w:val="005A34D4"/>
    <w:rsid w:val="005A557E"/>
    <w:rsid w:val="005D4156"/>
    <w:rsid w:val="005E5D10"/>
    <w:rsid w:val="005E78AB"/>
    <w:rsid w:val="005F33EB"/>
    <w:rsid w:val="005F688D"/>
    <w:rsid w:val="00613E5E"/>
    <w:rsid w:val="00634B00"/>
    <w:rsid w:val="00636A67"/>
    <w:rsid w:val="00650137"/>
    <w:rsid w:val="0067335C"/>
    <w:rsid w:val="00677A07"/>
    <w:rsid w:val="006A038E"/>
    <w:rsid w:val="006A1528"/>
    <w:rsid w:val="006A6C9A"/>
    <w:rsid w:val="006B46A1"/>
    <w:rsid w:val="006D16D2"/>
    <w:rsid w:val="006E10A2"/>
    <w:rsid w:val="006E5491"/>
    <w:rsid w:val="006E60E5"/>
    <w:rsid w:val="006F3D91"/>
    <w:rsid w:val="00714DA3"/>
    <w:rsid w:val="007334B6"/>
    <w:rsid w:val="00752DE1"/>
    <w:rsid w:val="00755F66"/>
    <w:rsid w:val="00756B71"/>
    <w:rsid w:val="00757DBD"/>
    <w:rsid w:val="00783688"/>
    <w:rsid w:val="0078458A"/>
    <w:rsid w:val="00786704"/>
    <w:rsid w:val="00791C73"/>
    <w:rsid w:val="007935CB"/>
    <w:rsid w:val="00794398"/>
    <w:rsid w:val="00795366"/>
    <w:rsid w:val="007E0605"/>
    <w:rsid w:val="007E68AF"/>
    <w:rsid w:val="007E7974"/>
    <w:rsid w:val="007F078C"/>
    <w:rsid w:val="008121E1"/>
    <w:rsid w:val="008241EF"/>
    <w:rsid w:val="00833C16"/>
    <w:rsid w:val="0084354D"/>
    <w:rsid w:val="0086099A"/>
    <w:rsid w:val="00863763"/>
    <w:rsid w:val="008853D7"/>
    <w:rsid w:val="00892979"/>
    <w:rsid w:val="008B17C3"/>
    <w:rsid w:val="008D45D6"/>
    <w:rsid w:val="008E5770"/>
    <w:rsid w:val="0094504A"/>
    <w:rsid w:val="009616BB"/>
    <w:rsid w:val="00962B3F"/>
    <w:rsid w:val="00966E2F"/>
    <w:rsid w:val="00970540"/>
    <w:rsid w:val="00980A65"/>
    <w:rsid w:val="00985C2A"/>
    <w:rsid w:val="00993F5F"/>
    <w:rsid w:val="009D12A5"/>
    <w:rsid w:val="009D17AA"/>
    <w:rsid w:val="009E342E"/>
    <w:rsid w:val="00A0302F"/>
    <w:rsid w:val="00A06AE6"/>
    <w:rsid w:val="00A12170"/>
    <w:rsid w:val="00A26439"/>
    <w:rsid w:val="00A26CE7"/>
    <w:rsid w:val="00A302D7"/>
    <w:rsid w:val="00A31C38"/>
    <w:rsid w:val="00A7061B"/>
    <w:rsid w:val="00A71574"/>
    <w:rsid w:val="00A73E92"/>
    <w:rsid w:val="00A80CF0"/>
    <w:rsid w:val="00A82C4F"/>
    <w:rsid w:val="00AB591E"/>
    <w:rsid w:val="00AD0A4C"/>
    <w:rsid w:val="00AD6D70"/>
    <w:rsid w:val="00AE2668"/>
    <w:rsid w:val="00B32DE0"/>
    <w:rsid w:val="00B4191D"/>
    <w:rsid w:val="00B45127"/>
    <w:rsid w:val="00B47DB2"/>
    <w:rsid w:val="00B644B3"/>
    <w:rsid w:val="00BA3BF4"/>
    <w:rsid w:val="00BB1CD9"/>
    <w:rsid w:val="00BD3DFB"/>
    <w:rsid w:val="00BE5652"/>
    <w:rsid w:val="00BF0AFB"/>
    <w:rsid w:val="00C06093"/>
    <w:rsid w:val="00C2661F"/>
    <w:rsid w:val="00C409D0"/>
    <w:rsid w:val="00C413A6"/>
    <w:rsid w:val="00C46D9D"/>
    <w:rsid w:val="00C473E1"/>
    <w:rsid w:val="00C54780"/>
    <w:rsid w:val="00C606B1"/>
    <w:rsid w:val="00C62393"/>
    <w:rsid w:val="00C9263F"/>
    <w:rsid w:val="00C93161"/>
    <w:rsid w:val="00CA0F88"/>
    <w:rsid w:val="00CB36A1"/>
    <w:rsid w:val="00CB44CC"/>
    <w:rsid w:val="00CC5252"/>
    <w:rsid w:val="00CD1B6F"/>
    <w:rsid w:val="00CD7DE8"/>
    <w:rsid w:val="00D01BFE"/>
    <w:rsid w:val="00D03C68"/>
    <w:rsid w:val="00D17822"/>
    <w:rsid w:val="00D178EC"/>
    <w:rsid w:val="00D27011"/>
    <w:rsid w:val="00D358C6"/>
    <w:rsid w:val="00D61795"/>
    <w:rsid w:val="00D652C0"/>
    <w:rsid w:val="00D67D37"/>
    <w:rsid w:val="00DA2355"/>
    <w:rsid w:val="00DB7409"/>
    <w:rsid w:val="00DC0243"/>
    <w:rsid w:val="00DC3CF7"/>
    <w:rsid w:val="00DC4535"/>
    <w:rsid w:val="00DE4BC5"/>
    <w:rsid w:val="00E025F7"/>
    <w:rsid w:val="00E10F9C"/>
    <w:rsid w:val="00E170BF"/>
    <w:rsid w:val="00E22D76"/>
    <w:rsid w:val="00E46E3A"/>
    <w:rsid w:val="00E6227A"/>
    <w:rsid w:val="00E76430"/>
    <w:rsid w:val="00E87C99"/>
    <w:rsid w:val="00E9780E"/>
    <w:rsid w:val="00EA36D0"/>
    <w:rsid w:val="00EB712C"/>
    <w:rsid w:val="00EC0DCA"/>
    <w:rsid w:val="00ED5781"/>
    <w:rsid w:val="00EF6A53"/>
    <w:rsid w:val="00F03D60"/>
    <w:rsid w:val="00F04CBA"/>
    <w:rsid w:val="00F05F63"/>
    <w:rsid w:val="00F2158C"/>
    <w:rsid w:val="00F33445"/>
    <w:rsid w:val="00F40CF3"/>
    <w:rsid w:val="00F51D68"/>
    <w:rsid w:val="00F52A2F"/>
    <w:rsid w:val="00F6465A"/>
    <w:rsid w:val="00F750A9"/>
    <w:rsid w:val="00F815C2"/>
    <w:rsid w:val="00F82389"/>
    <w:rsid w:val="00F844FB"/>
    <w:rsid w:val="00F944EE"/>
    <w:rsid w:val="00FA343C"/>
    <w:rsid w:val="00FA6698"/>
    <w:rsid w:val="00FB3BEB"/>
    <w:rsid w:val="00FB6A39"/>
    <w:rsid w:val="00FB7B13"/>
    <w:rsid w:val="00FC1A85"/>
    <w:rsid w:val="00FC5EA8"/>
    <w:rsid w:val="00FD5B92"/>
    <w:rsid w:val="00FE106C"/>
    <w:rsid w:val="00FE5184"/>
    <w:rsid w:val="02612B5C"/>
    <w:rsid w:val="03C03826"/>
    <w:rsid w:val="06476B3B"/>
    <w:rsid w:val="066058A6"/>
    <w:rsid w:val="06B64A6C"/>
    <w:rsid w:val="07212DDD"/>
    <w:rsid w:val="077A4DF6"/>
    <w:rsid w:val="09A129E2"/>
    <w:rsid w:val="0A593983"/>
    <w:rsid w:val="0BC96FF0"/>
    <w:rsid w:val="10390BE8"/>
    <w:rsid w:val="114B1E9F"/>
    <w:rsid w:val="121D1E44"/>
    <w:rsid w:val="124B4C03"/>
    <w:rsid w:val="13500F6C"/>
    <w:rsid w:val="142B4CEC"/>
    <w:rsid w:val="1507223F"/>
    <w:rsid w:val="15282FD9"/>
    <w:rsid w:val="15B1174D"/>
    <w:rsid w:val="15BA6327"/>
    <w:rsid w:val="15CA4090"/>
    <w:rsid w:val="174324EB"/>
    <w:rsid w:val="17C32677"/>
    <w:rsid w:val="187546F0"/>
    <w:rsid w:val="194C3B6E"/>
    <w:rsid w:val="194D43C8"/>
    <w:rsid w:val="19C808E7"/>
    <w:rsid w:val="1CA478AB"/>
    <w:rsid w:val="1D1C5FD1"/>
    <w:rsid w:val="1E5D1F46"/>
    <w:rsid w:val="1E6037E4"/>
    <w:rsid w:val="1F9C7BD8"/>
    <w:rsid w:val="2273396A"/>
    <w:rsid w:val="23B14C77"/>
    <w:rsid w:val="23C361CB"/>
    <w:rsid w:val="24E46F1D"/>
    <w:rsid w:val="2557368E"/>
    <w:rsid w:val="25D80104"/>
    <w:rsid w:val="26663961"/>
    <w:rsid w:val="27246728"/>
    <w:rsid w:val="282C4A77"/>
    <w:rsid w:val="29235B3A"/>
    <w:rsid w:val="2A4E40A5"/>
    <w:rsid w:val="2ACB7241"/>
    <w:rsid w:val="2B54003D"/>
    <w:rsid w:val="2BF42E9D"/>
    <w:rsid w:val="2D5B5616"/>
    <w:rsid w:val="2E1F7FE9"/>
    <w:rsid w:val="2F9037FD"/>
    <w:rsid w:val="2FAF126E"/>
    <w:rsid w:val="2FF07B91"/>
    <w:rsid w:val="30FC114A"/>
    <w:rsid w:val="325B6344"/>
    <w:rsid w:val="337F4855"/>
    <w:rsid w:val="33D21529"/>
    <w:rsid w:val="33F02472"/>
    <w:rsid w:val="34164C19"/>
    <w:rsid w:val="346239BA"/>
    <w:rsid w:val="34ED71D7"/>
    <w:rsid w:val="35A677E1"/>
    <w:rsid w:val="38B16CBE"/>
    <w:rsid w:val="3951034B"/>
    <w:rsid w:val="39A16D33"/>
    <w:rsid w:val="3A043963"/>
    <w:rsid w:val="3C3F0817"/>
    <w:rsid w:val="3CAD59EE"/>
    <w:rsid w:val="3DE44963"/>
    <w:rsid w:val="3E3C1720"/>
    <w:rsid w:val="3EA53760"/>
    <w:rsid w:val="3EB95DE8"/>
    <w:rsid w:val="4155656D"/>
    <w:rsid w:val="42446E86"/>
    <w:rsid w:val="42901998"/>
    <w:rsid w:val="43D73E93"/>
    <w:rsid w:val="446606B3"/>
    <w:rsid w:val="45356766"/>
    <w:rsid w:val="46C171C7"/>
    <w:rsid w:val="46FD227B"/>
    <w:rsid w:val="47643C27"/>
    <w:rsid w:val="480025AE"/>
    <w:rsid w:val="48840439"/>
    <w:rsid w:val="4A0B1011"/>
    <w:rsid w:val="4AF8077D"/>
    <w:rsid w:val="4BEF361F"/>
    <w:rsid w:val="4CA64098"/>
    <w:rsid w:val="4DA05878"/>
    <w:rsid w:val="4E040E05"/>
    <w:rsid w:val="4FDE7671"/>
    <w:rsid w:val="53740BBC"/>
    <w:rsid w:val="55822579"/>
    <w:rsid w:val="562B6483"/>
    <w:rsid w:val="579D2191"/>
    <w:rsid w:val="57B32A0E"/>
    <w:rsid w:val="59724A0A"/>
    <w:rsid w:val="5B975D90"/>
    <w:rsid w:val="5CE727F2"/>
    <w:rsid w:val="5D244155"/>
    <w:rsid w:val="5FCB4F59"/>
    <w:rsid w:val="61D3616D"/>
    <w:rsid w:val="62E278F0"/>
    <w:rsid w:val="64DB6CED"/>
    <w:rsid w:val="66094E83"/>
    <w:rsid w:val="66882EA5"/>
    <w:rsid w:val="671953E6"/>
    <w:rsid w:val="6A117255"/>
    <w:rsid w:val="6AE668F5"/>
    <w:rsid w:val="6AF3005C"/>
    <w:rsid w:val="6B2D401B"/>
    <w:rsid w:val="6B746569"/>
    <w:rsid w:val="6D5C4743"/>
    <w:rsid w:val="6DEE1AC4"/>
    <w:rsid w:val="6E6506EE"/>
    <w:rsid w:val="6E72228A"/>
    <w:rsid w:val="6E996E4B"/>
    <w:rsid w:val="6F0E1408"/>
    <w:rsid w:val="719F2639"/>
    <w:rsid w:val="765C2DBE"/>
    <w:rsid w:val="7897510D"/>
    <w:rsid w:val="79E85CDC"/>
    <w:rsid w:val="7B4F7695"/>
    <w:rsid w:val="7C370855"/>
    <w:rsid w:val="7C5B6B47"/>
    <w:rsid w:val="7D07647A"/>
    <w:rsid w:val="7D965F8A"/>
    <w:rsid w:val="7E603126"/>
    <w:rsid w:val="7EA81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rPr>
      <w:rFonts w:ascii="仿宋" w:hAnsi="仿宋" w:eastAsia="仿宋" w:cs="仿宋"/>
      <w:sz w:val="31"/>
      <w:szCs w:val="31"/>
    </w:rPr>
  </w:style>
  <w:style w:type="paragraph" w:styleId="3">
    <w:name w:val="Body Text Indent"/>
    <w:basedOn w:val="1"/>
    <w:qFormat/>
    <w:uiPriority w:val="0"/>
    <w:pPr>
      <w:ind w:left="420" w:leftChars="200"/>
    </w:pPr>
  </w:style>
  <w:style w:type="paragraph" w:styleId="4">
    <w:name w:val="footer"/>
    <w:basedOn w:val="1"/>
    <w:qFormat/>
    <w:uiPriority w:val="0"/>
    <w:pPr>
      <w:tabs>
        <w:tab w:val="center" w:pos="4153"/>
        <w:tab w:val="right" w:pos="8306"/>
      </w:tabs>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2"/>
    <w:basedOn w:val="3"/>
    <w:qFormat/>
    <w:uiPriority w:val="0"/>
    <w:pPr>
      <w:ind w:firstLine="420" w:firstLineChars="200"/>
    </w:p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仿宋" w:hAnsi="仿宋" w:eastAsia="仿宋" w:cs="仿宋"/>
      <w:sz w:val="24"/>
      <w:szCs w:val="24"/>
    </w:rPr>
  </w:style>
  <w:style w:type="paragraph" w:customStyle="1" w:styleId="12">
    <w:name w:val="无间隔1"/>
    <w:qFormat/>
    <w:uiPriority w:val="1"/>
    <w:pPr>
      <w:adjustRightInd w:val="0"/>
      <w:snapToGrid w:val="0"/>
      <w:spacing w:line="360" w:lineRule="auto"/>
      <w:ind w:firstLine="200" w:firstLineChars="200"/>
    </w:pPr>
    <w:rPr>
      <w:rFonts w:ascii="Tahoma" w:hAnsi="Tahoma" w:eastAsia="仿宋_GB2312" w:cs="Times New Roman"/>
      <w:sz w:val="32"/>
      <w:szCs w:val="22"/>
      <w:lang w:val="en-US" w:eastAsia="zh-CN" w:bidi="ar-SA"/>
    </w:rPr>
  </w:style>
  <w:style w:type="character" w:customStyle="1" w:styleId="13">
    <w:name w:val="正文文本 字符"/>
    <w:basedOn w:val="9"/>
    <w:link w:val="2"/>
    <w:qFormat/>
    <w:uiPriority w:val="0"/>
    <w:rPr>
      <w:rFonts w:ascii="仿宋" w:hAnsi="仿宋" w:eastAsia="仿宋" w:cs="仿宋"/>
      <w:snapToGrid w:val="0"/>
      <w:color w:val="000000"/>
      <w:sz w:val="31"/>
      <w:szCs w:val="31"/>
      <w:lang w:eastAsia="en-US"/>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5055</Words>
  <Characters>5577</Characters>
  <Lines>38</Lines>
  <Paragraphs>10</Paragraphs>
  <TotalTime>18</TotalTime>
  <ScaleCrop>false</ScaleCrop>
  <LinksUpToDate>false</LinksUpToDate>
  <CharactersWithSpaces>5686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2023-08-10T09:26:00Z</dcterms:created>
  <dc:creator>晴天</dc:creator>
  <cp:lastModifiedBy>Babycherie</cp:lastModifiedBy>
  <dcterms:modified xsi:type="dcterms:W3CDTF">2024-09-07T02:14:10Z</dcterms:modified>
  <cp:revision>243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wqlLaW5nc29mdCBQREYgdG8gV1BTIDk1</vt:lpwstr>
  </property>
  <property fmtid="{D5CDD505-2E9C-101B-9397-08002B2CF9AE}" pid="3" name="Created">
    <vt:filetime>2024-07-09T09:00:02Z</vt:filetime>
  </property>
  <property fmtid="{D5CDD505-2E9C-101B-9397-08002B2CF9AE}" pid="4" name="KSOProductBuildVer">
    <vt:lpwstr>2052-12.1.0.17827</vt:lpwstr>
  </property>
  <property fmtid="{D5CDD505-2E9C-101B-9397-08002B2CF9AE}" pid="5" name="ICV">
    <vt:lpwstr>A19A0BA8DC994DA4A5A0BCF425AF52F7_13</vt:lpwstr>
  </property>
</Properties>
</file>